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45E5B">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14:paraId="5D194BB3">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14:paraId="229850B1">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spacing w:val="1"/>
          <w:kern w:val="0"/>
          <w:position w:val="-2"/>
          <w:sz w:val="21"/>
          <w:szCs w:val="21"/>
        </w:rPr>
      </w:pPr>
    </w:p>
    <w:bookmarkEnd w:id="1"/>
    <w:p w14:paraId="0F4F6D04">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ascii="Times New Roman" w:hAnsi="Times New Roman" w:eastAsia="仿宋_GB2312"/>
          <w:color w:val="auto"/>
          <w:kern w:val="0"/>
          <w:position w:val="-2"/>
          <w:sz w:val="32"/>
          <w:szCs w:val="32"/>
        </w:rPr>
      </w:pPr>
      <w:r>
        <w:rPr>
          <w:rFonts w:ascii="Times New Roman" w:hAnsi="Times New Roman" w:eastAsia="仿宋_GB2312"/>
          <w:color w:val="auto"/>
          <w:spacing w:val="1"/>
          <w:kern w:val="0"/>
          <w:position w:val="-2"/>
          <w:sz w:val="32"/>
          <w:szCs w:val="32"/>
        </w:rPr>
        <w:t>津市环罚</w:t>
      </w:r>
      <w:bookmarkStart w:id="2" w:name="PO_7_NianDuBianHao"/>
      <w:r>
        <w:rPr>
          <w:rFonts w:ascii="Times New Roman" w:hAnsi="Times New Roman" w:eastAsia="仿宋_GB2312"/>
          <w:color w:val="auto"/>
          <w:kern w:val="0"/>
          <w:position w:val="-2"/>
          <w:sz w:val="32"/>
          <w:szCs w:val="32"/>
        </w:rPr>
        <w:t>〔</w:t>
      </w:r>
      <w:bookmarkEnd w:id="2"/>
      <w:r>
        <w:rPr>
          <w:rFonts w:hint="eastAsia" w:ascii="Times New Roman" w:hAnsi="Times New Roman" w:eastAsia="仿宋_GB2312"/>
          <w:color w:val="auto"/>
          <w:kern w:val="0"/>
          <w:position w:val="-2"/>
          <w:sz w:val="32"/>
          <w:szCs w:val="32"/>
          <w:lang w:eastAsia="zh-CN"/>
        </w:rPr>
        <w:t>202</w:t>
      </w:r>
      <w:r>
        <w:rPr>
          <w:rFonts w:hint="eastAsia" w:eastAsia="仿宋_GB2312"/>
          <w:color w:val="auto"/>
          <w:kern w:val="0"/>
          <w:position w:val="-2"/>
          <w:sz w:val="32"/>
          <w:szCs w:val="32"/>
          <w:lang w:val="en-US" w:eastAsia="zh-CN"/>
        </w:rPr>
        <w:t>6</w:t>
      </w:r>
      <w:r>
        <w:rPr>
          <w:rFonts w:ascii="Times New Roman" w:hAnsi="Times New Roman" w:eastAsia="仿宋_GB2312"/>
          <w:color w:val="auto"/>
          <w:kern w:val="0"/>
          <w:position w:val="-2"/>
          <w:sz w:val="32"/>
          <w:szCs w:val="32"/>
        </w:rPr>
        <w:t>〕</w:t>
      </w:r>
      <w:r>
        <w:rPr>
          <w:rFonts w:hint="eastAsia" w:eastAsia="仿宋_GB2312"/>
          <w:color w:val="auto"/>
          <w:kern w:val="0"/>
          <w:sz w:val="32"/>
          <w:szCs w:val="32"/>
          <w:lang w:val="en-US" w:eastAsia="zh-CN"/>
        </w:rPr>
        <w:t>7</w:t>
      </w:r>
      <w:r>
        <w:rPr>
          <w:rFonts w:ascii="Times New Roman" w:hAnsi="Times New Roman" w:eastAsia="仿宋_GB2312"/>
          <w:color w:val="auto"/>
          <w:kern w:val="0"/>
          <w:position w:val="-2"/>
          <w:sz w:val="32"/>
          <w:szCs w:val="32"/>
        </w:rPr>
        <w:t>号</w:t>
      </w:r>
    </w:p>
    <w:p w14:paraId="3EE0CF1C">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580" w:lineRule="exact"/>
        <w:jc w:val="left"/>
        <w:textAlignment w:val="auto"/>
        <w:rPr>
          <w:rFonts w:hint="eastAsia" w:ascii="Times New Roman" w:hAnsi="Times New Roman" w:eastAsia="仿宋_GB2312"/>
          <w:color w:val="auto"/>
          <w:kern w:val="0"/>
          <w:sz w:val="21"/>
          <w:szCs w:val="21"/>
          <w:lang w:val="en-US" w:eastAsia="zh-CN"/>
        </w:rPr>
      </w:pPr>
    </w:p>
    <w:p w14:paraId="1924BCB8">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580" w:lineRule="exact"/>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当事人名称</w:t>
      </w:r>
      <w:r>
        <w:rPr>
          <w:rFonts w:eastAsia="仿宋_GB2312"/>
          <w:color w:val="auto"/>
          <w:kern w:val="0"/>
          <w:sz w:val="32"/>
          <w:szCs w:val="32"/>
        </w:rPr>
        <w:t>：</w:t>
      </w:r>
      <w:r>
        <w:rPr>
          <w:rFonts w:hint="eastAsia" w:eastAsia="仿宋_GB2312"/>
          <w:color w:val="auto"/>
          <w:kern w:val="0"/>
          <w:sz w:val="32"/>
          <w:szCs w:val="32"/>
          <w:lang w:val="en-US" w:eastAsia="zh-CN"/>
        </w:rPr>
        <w:t>恒诺优（天津）生物技术有限公司</w:t>
      </w:r>
    </w:p>
    <w:p w14:paraId="45841E25">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580" w:lineRule="exact"/>
        <w:jc w:val="both"/>
        <w:textAlignment w:val="auto"/>
        <w:rPr>
          <w:rFonts w:eastAsia="仿宋_GB2312"/>
          <w:color w:val="auto"/>
          <w:kern w:val="0"/>
          <w:sz w:val="32"/>
          <w:szCs w:val="32"/>
        </w:rPr>
      </w:pPr>
      <w:r>
        <w:rPr>
          <w:rFonts w:eastAsia="仿宋_GB2312"/>
          <w:color w:val="auto"/>
          <w:kern w:val="0"/>
          <w:sz w:val="32"/>
          <w:szCs w:val="32"/>
        </w:rPr>
        <w:t>统一社会信用代码：</w:t>
      </w:r>
      <w:r>
        <w:rPr>
          <w:rFonts w:hint="eastAsia" w:eastAsia="仿宋_GB2312"/>
          <w:color w:val="auto"/>
          <w:kern w:val="0"/>
          <w:sz w:val="32"/>
          <w:szCs w:val="32"/>
        </w:rPr>
        <w:t>9</w:t>
      </w:r>
      <w:r>
        <w:rPr>
          <w:rFonts w:hint="eastAsia" w:eastAsia="仿宋_GB2312"/>
          <w:color w:val="auto"/>
          <w:kern w:val="0"/>
          <w:sz w:val="32"/>
          <w:szCs w:val="32"/>
          <w:lang w:val="en-US" w:eastAsia="zh-CN"/>
        </w:rPr>
        <w:t>1120223MA07DD9N58</w:t>
      </w:r>
    </w:p>
    <w:p w14:paraId="4484F3CD">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580" w:lineRule="exact"/>
        <w:jc w:val="both"/>
        <w:textAlignment w:val="auto"/>
        <w:rPr>
          <w:rFonts w:hint="default" w:eastAsia="仿宋_GB2312"/>
          <w:color w:val="auto"/>
          <w:spacing w:val="-11"/>
          <w:sz w:val="32"/>
          <w:szCs w:val="32"/>
          <w:lang w:val="en-US" w:eastAsia="zh-CN"/>
        </w:rPr>
      </w:pPr>
      <w:r>
        <w:rPr>
          <w:rFonts w:hint="eastAsia" w:eastAsia="仿宋_GB2312"/>
          <w:color w:val="auto"/>
          <w:kern w:val="0"/>
          <w:sz w:val="32"/>
          <w:szCs w:val="32"/>
          <w:lang w:val="en-US" w:eastAsia="zh-CN"/>
        </w:rPr>
        <w:t>住所</w:t>
      </w:r>
      <w:r>
        <w:rPr>
          <w:rFonts w:eastAsia="仿宋_GB2312"/>
          <w:color w:val="auto"/>
          <w:kern w:val="0"/>
          <w:sz w:val="32"/>
          <w:szCs w:val="32"/>
        </w:rPr>
        <w:t>：</w:t>
      </w:r>
      <w:r>
        <w:rPr>
          <w:rFonts w:hint="eastAsia" w:eastAsia="仿宋_GB2312"/>
          <w:color w:val="auto"/>
          <w:spacing w:val="-11"/>
          <w:kern w:val="0"/>
          <w:sz w:val="32"/>
          <w:szCs w:val="32"/>
          <w:lang w:val="en-US" w:eastAsia="zh-CN"/>
        </w:rPr>
        <w:t>天津子牙经济技术开发区高新产业园南区台玻南路5号增1号</w:t>
      </w:r>
    </w:p>
    <w:p w14:paraId="6162CF97">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jc w:val="both"/>
        <w:textAlignment w:val="auto"/>
        <w:rPr>
          <w:rFonts w:hint="eastAsia" w:ascii="Times New Roman" w:hAnsi="Times New Roman" w:eastAsia="仿宋_GB2312"/>
          <w:color w:val="auto"/>
          <w:kern w:val="0"/>
          <w:sz w:val="32"/>
          <w:szCs w:val="32"/>
          <w:lang w:val="en-US" w:eastAsia="zh-CN"/>
        </w:rPr>
      </w:pPr>
      <w:r>
        <w:rPr>
          <w:rFonts w:eastAsia="仿宋_GB2312"/>
          <w:color w:val="auto"/>
          <w:kern w:val="0"/>
          <w:sz w:val="32"/>
          <w:szCs w:val="32"/>
        </w:rPr>
        <w:t>法定代表人：</w:t>
      </w:r>
      <w:r>
        <w:rPr>
          <w:rFonts w:hint="eastAsia" w:eastAsia="仿宋_GB2312"/>
          <w:color w:val="auto"/>
          <w:kern w:val="0"/>
          <w:sz w:val="32"/>
          <w:szCs w:val="32"/>
          <w:lang w:val="en-US" w:eastAsia="zh-CN"/>
        </w:rPr>
        <w:t>徐永辉</w:t>
      </w:r>
    </w:p>
    <w:p w14:paraId="5522C93F">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你单位环境违法</w:t>
      </w:r>
      <w:r>
        <w:rPr>
          <w:rFonts w:ascii="Times New Roman" w:hAnsi="Times New Roman" w:eastAsia="仿宋_GB2312"/>
          <w:color w:val="auto"/>
          <w:kern w:val="0"/>
          <w:position w:val="-2"/>
          <w:sz w:val="32"/>
          <w:szCs w:val="32"/>
        </w:rPr>
        <w:t>一案，我局经调查，现已审查终结。</w:t>
      </w:r>
    </w:p>
    <w:p w14:paraId="71C7252C">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一、调查情况及发现的环境违法事实、证据和陈述申辩（听证）及采纳情况</w:t>
      </w:r>
    </w:p>
    <w:p w14:paraId="70B1584E">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sz w:val="32"/>
          <w:szCs w:val="32"/>
          <w:lang w:val="en-US" w:eastAsia="zh-CN"/>
        </w:rPr>
        <w:t>根据</w:t>
      </w:r>
      <w:r>
        <w:rPr>
          <w:rFonts w:hint="eastAsia" w:ascii="Times New Roman" w:hAnsi="Times New Roman" w:eastAsia="仿宋_GB2312"/>
          <w:color w:val="auto"/>
          <w:kern w:val="0"/>
          <w:sz w:val="32"/>
          <w:szCs w:val="32"/>
          <w:lang w:val="en-US" w:eastAsia="zh-CN"/>
        </w:rPr>
        <w:t>生态环境部推送问题线索及污染源自动监控平台异常线索，我局于2025年11月12日对你单位进行了检查。根据《天津市2025年环境监管重点单位名录》和你单位《排污许可证副本》（证书编号：91120223MA07DD9N58001P）、《重点排污单位自动监控与基础数据库系统（管理端）》查询截图，你单位是2025年水环境重点监管单位，废水总排口处安装有化学需氧量（COD）、氨氮自动监测设备。经调查，发现你单位实施了以下环境违法行为：</w:t>
      </w:r>
    </w:p>
    <w:p w14:paraId="55515FD4">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现场检查时，你单位正在生产。执法人员发现你单位自2025年3月份化学需氧量（COD）、氨氮自动监测设备与生态环境主管部门联网后，至检查当日未按照规定完成自动监测设备验收工作。依据《天津市固定污染源自动监控管理办法（修订）》第十三条第一款“污染源自动监测设备完成安装并与生态环境主管部门联网后60个自然日内，重点单位应按照国家和本市有关规定自行组织完成验收工作。验收合格后5个工作日内向所在区生态环境主管部门登记备案。当登记备案信息发生变更时，应于变更后5个工作日内向所在区生态环境主管部门变更登记备案。”的规定，你单位应当联网后60个自然日内完成化学需氧量（COD）、氨氮自动监测设备验收工作。</w:t>
      </w:r>
    </w:p>
    <w:p w14:paraId="7F802BDC">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kern w:val="0"/>
          <w:sz w:val="32"/>
          <w:szCs w:val="32"/>
          <w:lang w:val="en-US" w:eastAsia="zh-CN"/>
        </w:rPr>
        <w:t>以上事实，有</w:t>
      </w:r>
      <w:bookmarkStart w:id="3" w:name="PO_4_ShiShiZhengJu"/>
      <w:r>
        <w:rPr>
          <w:rFonts w:hint="eastAsia" w:ascii="Times New Roman" w:hAnsi="Times New Roman" w:eastAsia="仿宋_GB2312"/>
          <w:color w:val="auto"/>
          <w:kern w:val="0"/>
          <w:sz w:val="32"/>
          <w:szCs w:val="32"/>
          <w:lang w:val="en-US" w:eastAsia="zh-CN"/>
        </w:rPr>
        <w:t>《天津市生态环境局现场检查（勘察）笔录》《天津市生态环境局调查询问笔录》《天津市2025年环境监管重点单位名录》《天津市固定污染源自动监控管理办法（修订）》《重点排污单位自动监控与基础数据库系统（管理端）》查询截图；你单位提供的《购销合同》（合同号：S（S）-HNY-2024-10-22）、《排污许可证副本》（证书编号：91120223MA07DD9N58001P）、《鸭病毒性肝炎精制蛋黄抗体批生产记录》（2025年9月、10月）；现场拍摄的视频以及营业执照复印件</w:t>
      </w:r>
      <w:bookmarkEnd w:id="3"/>
      <w:r>
        <w:rPr>
          <w:rFonts w:hint="eastAsia" w:ascii="Times New Roman" w:hAnsi="Times New Roman" w:eastAsia="仿宋_GB2312"/>
          <w:color w:val="auto"/>
          <w:kern w:val="0"/>
          <w:sz w:val="32"/>
          <w:szCs w:val="32"/>
          <w:lang w:val="en-US" w:eastAsia="zh-CN"/>
        </w:rPr>
        <w:t>等证据为凭。</w:t>
      </w:r>
    </w:p>
    <w:p w14:paraId="4D5EBB13">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kern w:val="0"/>
          <w:sz w:val="32"/>
          <w:szCs w:val="32"/>
          <w:lang w:eastAsia="zh-CN"/>
        </w:rPr>
      </w:pPr>
      <w:r>
        <w:rPr>
          <w:rFonts w:ascii="Times New Roman" w:hAnsi="Times New Roman" w:eastAsia="仿宋_GB2312"/>
          <w:color w:val="auto"/>
          <w:sz w:val="32"/>
          <w:szCs w:val="32"/>
        </w:rPr>
        <w:t>你单位上述行为违反了</w:t>
      </w:r>
      <w:bookmarkStart w:id="4" w:name="OLE_LINK1"/>
      <w:r>
        <w:rPr>
          <w:rFonts w:hint="eastAsia" w:ascii="Times New Roman" w:hAnsi="Times New Roman" w:eastAsia="仿宋_GB2312"/>
          <w:color w:val="auto"/>
          <w:sz w:val="32"/>
          <w:szCs w:val="32"/>
          <w:lang w:val="en-US" w:eastAsia="zh-CN"/>
        </w:rPr>
        <w:t>《天津市生态环境保护条例》</w:t>
      </w:r>
      <w:bookmarkEnd w:id="4"/>
      <w:r>
        <w:rPr>
          <w:rFonts w:hint="eastAsia" w:ascii="Times New Roman" w:hAnsi="Times New Roman" w:eastAsia="仿宋_GB2312"/>
          <w:color w:val="auto"/>
          <w:sz w:val="32"/>
          <w:szCs w:val="32"/>
          <w:lang w:val="en-US" w:eastAsia="zh-CN"/>
        </w:rPr>
        <w:t>第五十四条第一款“重点排污单位应当按照国家和本市有关规定安装自动监测设备并组织验收。自动监测设备应当与生态环境主管部门的监控设备联网，并保证正常运行。”的规定</w:t>
      </w:r>
      <w:r>
        <w:rPr>
          <w:rFonts w:ascii="Times New Roman" w:hAnsi="Times New Roman" w:eastAsia="仿宋_GB2312"/>
          <w:color w:val="auto"/>
          <w:kern w:val="0"/>
          <w:sz w:val="32"/>
          <w:szCs w:val="32"/>
        </w:rPr>
        <w:t>，依法应当予以处罚</w:t>
      </w:r>
      <w:r>
        <w:rPr>
          <w:rFonts w:hint="eastAsia" w:ascii="Times New Roman" w:hAnsi="Times New Roman" w:eastAsia="仿宋_GB2312"/>
          <w:color w:val="auto"/>
          <w:kern w:val="0"/>
          <w:sz w:val="32"/>
          <w:szCs w:val="32"/>
          <w:lang w:eastAsia="zh-CN"/>
        </w:rPr>
        <w:t>。</w:t>
      </w:r>
    </w:p>
    <w:p w14:paraId="6889E576">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580" w:lineRule="exact"/>
        <w:ind w:firstLine="640" w:firstLineChars="200"/>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我局于</w:t>
      </w:r>
      <w:r>
        <w:rPr>
          <w:rFonts w:hint="eastAsia" w:ascii="Times New Roman" w:hAnsi="Times New Roman" w:eastAsia="仿宋_GB2312"/>
          <w:color w:val="auto"/>
          <w:kern w:val="0"/>
          <w:sz w:val="32"/>
          <w:szCs w:val="32"/>
          <w:lang w:eastAsia="zh-CN"/>
        </w:rPr>
        <w:t>202</w:t>
      </w:r>
      <w:r>
        <w:rPr>
          <w:rFonts w:hint="eastAsia" w:eastAsia="仿宋_GB2312"/>
          <w:color w:val="auto"/>
          <w:kern w:val="0"/>
          <w:sz w:val="32"/>
          <w:szCs w:val="32"/>
          <w:lang w:val="en-US" w:eastAsia="zh-CN"/>
        </w:rPr>
        <w:t>6</w:t>
      </w:r>
      <w:r>
        <w:rPr>
          <w:rFonts w:ascii="Times New Roman" w:hAnsi="Times New Roman" w:eastAsia="仿宋_GB2312"/>
          <w:color w:val="auto"/>
          <w:kern w:val="0"/>
          <w:sz w:val="32"/>
          <w:szCs w:val="32"/>
        </w:rPr>
        <w:t>年</w:t>
      </w:r>
      <w:r>
        <w:rPr>
          <w:rFonts w:hint="eastAsia" w:eastAsia="仿宋_GB2312"/>
          <w:color w:val="auto"/>
          <w:kern w:val="0"/>
          <w:sz w:val="32"/>
          <w:szCs w:val="32"/>
          <w:lang w:val="en-US" w:eastAsia="zh-CN"/>
        </w:rPr>
        <w:t>1</w:t>
      </w:r>
      <w:r>
        <w:rPr>
          <w:rFonts w:ascii="Times New Roman" w:hAnsi="Times New Roman" w:eastAsia="仿宋_GB2312"/>
          <w:color w:val="auto"/>
          <w:kern w:val="0"/>
          <w:sz w:val="32"/>
          <w:szCs w:val="32"/>
        </w:rPr>
        <w:t>月</w:t>
      </w:r>
      <w:r>
        <w:rPr>
          <w:rFonts w:hint="eastAsia" w:eastAsia="仿宋_GB2312"/>
          <w:color w:val="auto"/>
          <w:kern w:val="0"/>
          <w:sz w:val="32"/>
          <w:szCs w:val="32"/>
          <w:lang w:val="en-US" w:eastAsia="zh-CN"/>
        </w:rPr>
        <w:t>12</w:t>
      </w:r>
      <w:r>
        <w:rPr>
          <w:rFonts w:ascii="Times New Roman" w:hAnsi="Times New Roman" w:eastAsia="仿宋_GB2312"/>
          <w:color w:val="auto"/>
          <w:kern w:val="0"/>
          <w:sz w:val="32"/>
          <w:szCs w:val="32"/>
        </w:rPr>
        <w:t>日</w:t>
      </w:r>
      <w:r>
        <w:rPr>
          <w:rFonts w:hint="eastAsia" w:ascii="Times New Roman" w:hAnsi="Times New Roman" w:eastAsia="仿宋_GB2312"/>
          <w:color w:val="auto"/>
          <w:kern w:val="0"/>
          <w:sz w:val="32"/>
          <w:szCs w:val="32"/>
          <w:lang w:val="en-US" w:eastAsia="zh-CN"/>
        </w:rPr>
        <w:t>作出</w:t>
      </w:r>
      <w:r>
        <w:rPr>
          <w:rFonts w:ascii="Times New Roman" w:hAnsi="Times New Roman" w:eastAsia="仿宋_GB2312"/>
          <w:color w:val="auto"/>
          <w:kern w:val="0"/>
          <w:sz w:val="32"/>
          <w:szCs w:val="32"/>
        </w:rPr>
        <w:t>《天津市生态环境局行政</w:t>
      </w:r>
      <w:r>
        <w:rPr>
          <w:rFonts w:hint="eastAsia" w:ascii="Times New Roman" w:hAnsi="Times New Roman" w:eastAsia="仿宋_GB2312"/>
          <w:color w:val="auto"/>
          <w:kern w:val="0"/>
          <w:sz w:val="32"/>
          <w:szCs w:val="32"/>
        </w:rPr>
        <w:t>处罚事先</w:t>
      </w:r>
      <w:r>
        <w:rPr>
          <w:rFonts w:ascii="Times New Roman" w:hAnsi="Times New Roman" w:eastAsia="仿宋_GB2312"/>
          <w:color w:val="auto"/>
          <w:kern w:val="0"/>
          <w:sz w:val="32"/>
          <w:szCs w:val="32"/>
        </w:rPr>
        <w:t>告知书》（津市环</w:t>
      </w:r>
      <w:r>
        <w:rPr>
          <w:rFonts w:hint="eastAsia" w:ascii="Times New Roman" w:hAnsi="Times New Roman" w:eastAsia="仿宋_GB2312"/>
          <w:color w:val="auto"/>
          <w:kern w:val="0"/>
          <w:sz w:val="32"/>
          <w:szCs w:val="32"/>
        </w:rPr>
        <w:t>事</w:t>
      </w:r>
      <w:r>
        <w:rPr>
          <w:rFonts w:ascii="Times New Roman" w:hAnsi="Times New Roman" w:eastAsia="仿宋_GB2312"/>
          <w:color w:val="auto"/>
          <w:kern w:val="0"/>
          <w:sz w:val="32"/>
          <w:szCs w:val="32"/>
        </w:rPr>
        <w:t>告〔</w:t>
      </w:r>
      <w:r>
        <w:rPr>
          <w:rFonts w:hint="eastAsia" w:ascii="Times New Roman" w:hAnsi="Times New Roman" w:eastAsia="仿宋_GB2312"/>
          <w:color w:val="auto"/>
          <w:kern w:val="0"/>
          <w:sz w:val="32"/>
          <w:szCs w:val="32"/>
          <w:lang w:eastAsia="zh-CN"/>
        </w:rPr>
        <w:t>202</w:t>
      </w:r>
      <w:r>
        <w:rPr>
          <w:rFonts w:hint="eastAsia" w:eastAsia="仿宋_GB2312"/>
          <w:color w:val="auto"/>
          <w:kern w:val="0"/>
          <w:sz w:val="32"/>
          <w:szCs w:val="32"/>
          <w:lang w:val="en-US" w:eastAsia="zh-CN"/>
        </w:rPr>
        <w:t>6</w:t>
      </w:r>
      <w:r>
        <w:rPr>
          <w:rFonts w:ascii="Times New Roman" w:hAnsi="Times New Roman" w:eastAsia="仿宋_GB2312"/>
          <w:color w:val="auto"/>
          <w:kern w:val="0"/>
          <w:sz w:val="32"/>
          <w:szCs w:val="32"/>
        </w:rPr>
        <w:t>〕</w:t>
      </w:r>
      <w:r>
        <w:rPr>
          <w:rFonts w:hint="eastAsia" w:eastAsia="仿宋_GB2312"/>
          <w:color w:val="auto"/>
          <w:kern w:val="0"/>
          <w:sz w:val="32"/>
          <w:szCs w:val="32"/>
          <w:lang w:val="en-US" w:eastAsia="zh-CN"/>
        </w:rPr>
        <w:t>3</w:t>
      </w:r>
      <w:r>
        <w:rPr>
          <w:rFonts w:ascii="Times New Roman" w:hAnsi="Times New Roman" w:eastAsia="仿宋_GB2312"/>
          <w:color w:val="auto"/>
          <w:kern w:val="0"/>
          <w:sz w:val="32"/>
          <w:szCs w:val="32"/>
        </w:rPr>
        <w:t>号）告知你单位违法事实、处罚依据和拟作出的处罚决定，并明确告知你单位</w:t>
      </w:r>
      <w:r>
        <w:rPr>
          <w:rFonts w:hint="eastAsia" w:ascii="Times New Roman" w:hAnsi="Times New Roman" w:eastAsia="仿宋_GB2312"/>
          <w:color w:val="auto"/>
          <w:kern w:val="0"/>
          <w:sz w:val="32"/>
          <w:szCs w:val="32"/>
          <w:lang w:val="en-US" w:eastAsia="zh-CN"/>
        </w:rPr>
        <w:t>有权利提出</w:t>
      </w:r>
      <w:r>
        <w:rPr>
          <w:rFonts w:ascii="Times New Roman" w:hAnsi="Times New Roman" w:eastAsia="仿宋_GB2312"/>
          <w:color w:val="auto"/>
          <w:kern w:val="0"/>
          <w:sz w:val="32"/>
          <w:szCs w:val="32"/>
        </w:rPr>
        <w:t>陈述</w:t>
      </w:r>
      <w:r>
        <w:rPr>
          <w:rFonts w:hint="eastAsia" w:ascii="Times New Roman" w:hAnsi="Times New Roman" w:eastAsia="仿宋_GB2312"/>
          <w:color w:val="auto"/>
          <w:kern w:val="0"/>
          <w:sz w:val="32"/>
          <w:szCs w:val="32"/>
        </w:rPr>
        <w:t>、申辩</w:t>
      </w:r>
      <w:r>
        <w:rPr>
          <w:rFonts w:hint="eastAsia" w:ascii="Times New Roman" w:hAnsi="Times New Roman" w:eastAsia="仿宋_GB2312"/>
          <w:color w:val="auto"/>
          <w:kern w:val="0"/>
          <w:sz w:val="32"/>
          <w:szCs w:val="32"/>
          <w:lang w:val="en-US" w:eastAsia="zh-CN"/>
        </w:rPr>
        <w:t>意见</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我局于</w:t>
      </w:r>
      <w:r>
        <w:rPr>
          <w:rFonts w:hint="eastAsia" w:ascii="Times New Roman" w:hAnsi="Times New Roman" w:eastAsia="仿宋_GB2312"/>
          <w:color w:val="auto"/>
          <w:kern w:val="0"/>
          <w:sz w:val="32"/>
          <w:szCs w:val="32"/>
          <w:lang w:eastAsia="zh-CN"/>
        </w:rPr>
        <w:t>202</w:t>
      </w:r>
      <w:r>
        <w:rPr>
          <w:rFonts w:hint="eastAsia" w:eastAsia="仿宋_GB2312"/>
          <w:color w:val="auto"/>
          <w:kern w:val="0"/>
          <w:sz w:val="32"/>
          <w:szCs w:val="32"/>
          <w:lang w:val="en-US" w:eastAsia="zh-CN"/>
        </w:rPr>
        <w:t>6</w:t>
      </w:r>
      <w:r>
        <w:rPr>
          <w:rFonts w:hint="eastAsia" w:ascii="Times New Roman" w:hAnsi="Times New Roman" w:eastAsia="仿宋_GB2312"/>
          <w:color w:val="auto"/>
          <w:kern w:val="0"/>
          <w:sz w:val="32"/>
          <w:szCs w:val="32"/>
        </w:rPr>
        <w:t>年</w:t>
      </w:r>
      <w:r>
        <w:rPr>
          <w:rFonts w:hint="eastAsia" w:eastAsia="仿宋_GB2312"/>
          <w:color w:val="auto"/>
          <w:kern w:val="0"/>
          <w:sz w:val="32"/>
          <w:szCs w:val="32"/>
          <w:lang w:val="en-US" w:eastAsia="zh-CN"/>
        </w:rPr>
        <w:t>1</w:t>
      </w:r>
      <w:r>
        <w:rPr>
          <w:rFonts w:hint="eastAsia" w:ascii="Times New Roman" w:hAnsi="Times New Roman" w:eastAsia="仿宋_GB2312"/>
          <w:color w:val="auto"/>
          <w:kern w:val="0"/>
          <w:sz w:val="32"/>
          <w:szCs w:val="32"/>
        </w:rPr>
        <w:t>月</w:t>
      </w:r>
      <w:r>
        <w:rPr>
          <w:rFonts w:hint="eastAsia" w:eastAsia="仿宋_GB2312"/>
          <w:color w:val="auto"/>
          <w:kern w:val="0"/>
          <w:sz w:val="32"/>
          <w:szCs w:val="32"/>
          <w:lang w:val="en-US" w:eastAsia="zh-CN"/>
        </w:rPr>
        <w:t>14</w:t>
      </w:r>
      <w:r>
        <w:rPr>
          <w:rFonts w:hint="eastAsia" w:ascii="Times New Roman" w:hAnsi="Times New Roman" w:eastAsia="仿宋_GB2312"/>
          <w:color w:val="auto"/>
          <w:kern w:val="0"/>
          <w:sz w:val="32"/>
          <w:szCs w:val="32"/>
        </w:rPr>
        <w:t>日向你单位</w:t>
      </w:r>
      <w:r>
        <w:rPr>
          <w:rFonts w:hint="eastAsia" w:ascii="Times New Roman" w:hAnsi="Times New Roman" w:eastAsia="仿宋_GB2312"/>
          <w:color w:val="auto"/>
          <w:kern w:val="0"/>
          <w:sz w:val="32"/>
          <w:szCs w:val="32"/>
          <w:lang w:eastAsia="zh-CN"/>
        </w:rPr>
        <w:t>直接</w:t>
      </w:r>
      <w:r>
        <w:rPr>
          <w:rFonts w:hint="eastAsia" w:ascii="Times New Roman" w:hAnsi="Times New Roman" w:eastAsia="仿宋_GB2312"/>
          <w:color w:val="auto"/>
          <w:kern w:val="0"/>
          <w:sz w:val="32"/>
          <w:szCs w:val="32"/>
        </w:rPr>
        <w:t>送达上述文件，你单位于当日签收。你单位逾期未向我局提出陈述</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rPr>
        <w:t>申辩意见。</w:t>
      </w:r>
    </w:p>
    <w:p w14:paraId="1BA2727C">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80" w:lineRule="exact"/>
        <w:ind w:firstLine="640" w:firstLineChars="200"/>
        <w:jc w:val="left"/>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以上事实，有《天津市生态环境局行政处罚</w:t>
      </w:r>
      <w:r>
        <w:rPr>
          <w:rFonts w:hint="eastAsia" w:ascii="Times New Roman" w:hAnsi="Times New Roman" w:eastAsia="仿宋_GB2312"/>
          <w:color w:val="auto"/>
          <w:kern w:val="0"/>
          <w:sz w:val="32"/>
          <w:szCs w:val="32"/>
        </w:rPr>
        <w:t>事先</w:t>
      </w:r>
      <w:r>
        <w:rPr>
          <w:rFonts w:ascii="Times New Roman" w:hAnsi="Times New Roman" w:eastAsia="仿宋_GB2312"/>
          <w:color w:val="auto"/>
          <w:kern w:val="0"/>
          <w:sz w:val="32"/>
          <w:szCs w:val="32"/>
        </w:rPr>
        <w:t>告知书》（津市环</w:t>
      </w:r>
      <w:r>
        <w:rPr>
          <w:rFonts w:hint="eastAsia" w:ascii="Times New Roman" w:hAnsi="Times New Roman" w:eastAsia="仿宋_GB2312"/>
          <w:color w:val="auto"/>
          <w:kern w:val="0"/>
          <w:sz w:val="32"/>
          <w:szCs w:val="32"/>
        </w:rPr>
        <w:t>事</w:t>
      </w:r>
      <w:r>
        <w:rPr>
          <w:rFonts w:ascii="Times New Roman" w:hAnsi="Times New Roman" w:eastAsia="仿宋_GB2312"/>
          <w:color w:val="auto"/>
          <w:kern w:val="0"/>
          <w:sz w:val="32"/>
          <w:szCs w:val="32"/>
        </w:rPr>
        <w:t>告〔</w:t>
      </w:r>
      <w:r>
        <w:rPr>
          <w:rFonts w:hint="eastAsia" w:ascii="Times New Roman" w:hAnsi="Times New Roman" w:eastAsia="仿宋_GB2312"/>
          <w:color w:val="auto"/>
          <w:kern w:val="0"/>
          <w:sz w:val="32"/>
          <w:szCs w:val="32"/>
          <w:lang w:eastAsia="zh-CN"/>
        </w:rPr>
        <w:t>202</w:t>
      </w:r>
      <w:r>
        <w:rPr>
          <w:rFonts w:hint="eastAsia" w:eastAsia="仿宋_GB2312"/>
          <w:color w:val="auto"/>
          <w:kern w:val="0"/>
          <w:sz w:val="32"/>
          <w:szCs w:val="32"/>
          <w:lang w:val="en-US" w:eastAsia="zh-CN"/>
        </w:rPr>
        <w:t>6</w:t>
      </w:r>
      <w:r>
        <w:rPr>
          <w:rFonts w:ascii="Times New Roman" w:hAnsi="Times New Roman" w:eastAsia="仿宋_GB2312"/>
          <w:color w:val="auto"/>
          <w:kern w:val="0"/>
          <w:sz w:val="32"/>
          <w:szCs w:val="32"/>
        </w:rPr>
        <w:t>〕</w:t>
      </w:r>
      <w:r>
        <w:rPr>
          <w:rFonts w:hint="eastAsia" w:eastAsia="仿宋_GB2312"/>
          <w:color w:val="auto"/>
          <w:kern w:val="0"/>
          <w:sz w:val="32"/>
          <w:szCs w:val="32"/>
          <w:lang w:val="en-US" w:eastAsia="zh-CN"/>
        </w:rPr>
        <w:t>3</w:t>
      </w:r>
      <w:r>
        <w:rPr>
          <w:rFonts w:ascii="Times New Roman" w:hAnsi="Times New Roman" w:eastAsia="仿宋_GB2312"/>
          <w:color w:val="auto"/>
          <w:kern w:val="0"/>
          <w:sz w:val="32"/>
          <w:szCs w:val="32"/>
        </w:rPr>
        <w:t>号）</w:t>
      </w:r>
      <w:r>
        <w:rPr>
          <w:rFonts w:hint="eastAsia" w:ascii="Times New Roman" w:hAnsi="Times New Roman" w:eastAsia="仿宋_GB2312"/>
          <w:color w:val="auto"/>
          <w:kern w:val="0"/>
          <w:sz w:val="32"/>
          <w:szCs w:val="32"/>
        </w:rPr>
        <w:t>及《</w:t>
      </w:r>
      <w:r>
        <w:rPr>
          <w:rFonts w:ascii="Times New Roman" w:hAnsi="Times New Roman" w:eastAsia="仿宋_GB2312"/>
          <w:color w:val="auto"/>
          <w:kern w:val="0"/>
          <w:sz w:val="32"/>
          <w:szCs w:val="32"/>
        </w:rPr>
        <w:t>天津市生态环境局</w:t>
      </w:r>
      <w:r>
        <w:rPr>
          <w:rFonts w:hint="eastAsia" w:ascii="Times New Roman" w:hAnsi="Times New Roman" w:eastAsia="仿宋_GB2312"/>
          <w:color w:val="auto"/>
          <w:kern w:val="0"/>
          <w:sz w:val="32"/>
          <w:szCs w:val="32"/>
        </w:rPr>
        <w:t>送达回证》</w:t>
      </w:r>
      <w:r>
        <w:rPr>
          <w:rFonts w:ascii="Times New Roman" w:hAnsi="Times New Roman" w:eastAsia="仿宋_GB2312"/>
          <w:color w:val="auto"/>
          <w:kern w:val="0"/>
          <w:sz w:val="32"/>
          <w:szCs w:val="32"/>
        </w:rPr>
        <w:t>等证据为凭。</w:t>
      </w:r>
    </w:p>
    <w:p w14:paraId="0CDF5516">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val="en-US" w:eastAsia="zh-CN"/>
        </w:rPr>
        <w:t>经集体审议，本案违法事实清楚、执法程序合法、法律适用准确、自由裁量结论合理。</w:t>
      </w:r>
    </w:p>
    <w:p w14:paraId="7938EC30">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二、</w:t>
      </w:r>
      <w:r>
        <w:rPr>
          <w:rFonts w:hint="eastAsia" w:ascii="Times New Roman" w:hAnsi="Times New Roman" w:eastAsia="黑体"/>
          <w:color w:val="auto"/>
          <w:kern w:val="0"/>
          <w:sz w:val="32"/>
          <w:szCs w:val="32"/>
        </w:rPr>
        <w:t>责令改正和行政处罚的依据、种类</w:t>
      </w:r>
    </w:p>
    <w:p w14:paraId="0A937857">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依据《天津市生态环境保护条例》第七十七条</w:t>
      </w:r>
      <w:bookmarkStart w:id="5" w:name="No227_Z7T77K1"/>
      <w:bookmarkEnd w:id="5"/>
      <w:r>
        <w:rPr>
          <w:rFonts w:hint="eastAsia" w:ascii="Times New Roman" w:hAnsi="Times New Roman" w:eastAsia="仿宋_GB2312"/>
          <w:color w:val="auto"/>
          <w:sz w:val="32"/>
          <w:szCs w:val="32"/>
          <w:lang w:val="en-US" w:eastAsia="zh-CN"/>
        </w:rPr>
        <w:t>第二项“违反本条例规定，有下列行为之一的，由生态环境主管部门责令改正，并处二万元以上二十万元以下的罚款；拒不改正的，责令停产整治：</w:t>
      </w:r>
      <w:bookmarkStart w:id="6" w:name="No228_T77K1X1"/>
      <w:bookmarkEnd w:id="6"/>
      <w:bookmarkStart w:id="7" w:name="No229_T77K1X2"/>
      <w:bookmarkEnd w:id="7"/>
      <w:r>
        <w:rPr>
          <w:rFonts w:hint="eastAsia" w:ascii="Times New Roman" w:hAnsi="Times New Roman" w:eastAsia="仿宋_GB2312"/>
          <w:color w:val="auto"/>
          <w:sz w:val="32"/>
          <w:szCs w:val="32"/>
          <w:lang w:val="en-US" w:eastAsia="zh-CN"/>
        </w:rPr>
        <w:t>（二）未按照规定完成自动监测设备验收的；”规定，我局：</w:t>
      </w:r>
    </w:p>
    <w:p w14:paraId="11383417">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1.责令你单位限期60日内改正违法行为；</w:t>
      </w:r>
    </w:p>
    <w:p w14:paraId="1615FA65">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2.对你单位处罚款三万元。</w:t>
      </w:r>
    </w:p>
    <w:p w14:paraId="7C8B7FB9">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三、</w:t>
      </w:r>
      <w:r>
        <w:rPr>
          <w:rFonts w:hint="eastAsia" w:ascii="Times New Roman" w:hAnsi="Times New Roman" w:eastAsia="黑体"/>
          <w:color w:val="auto"/>
          <w:kern w:val="0"/>
          <w:sz w:val="32"/>
          <w:szCs w:val="32"/>
        </w:rPr>
        <w:t>责令改正和</w:t>
      </w:r>
      <w:r>
        <w:rPr>
          <w:rFonts w:ascii="Times New Roman" w:hAnsi="Times New Roman" w:eastAsia="黑体"/>
          <w:color w:val="auto"/>
          <w:kern w:val="0"/>
          <w:sz w:val="32"/>
          <w:szCs w:val="32"/>
        </w:rPr>
        <w:t>处罚决定的履行方式和期限</w:t>
      </w:r>
    </w:p>
    <w:p w14:paraId="142F0D5C">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楷体"/>
          <w:color w:val="auto"/>
          <w:kern w:val="0"/>
          <w:sz w:val="32"/>
          <w:szCs w:val="32"/>
        </w:rPr>
      </w:pPr>
      <w:r>
        <w:rPr>
          <w:rFonts w:ascii="Times New Roman" w:hAnsi="Times New Roman" w:eastAsia="楷体"/>
          <w:color w:val="auto"/>
          <w:kern w:val="0"/>
          <w:sz w:val="32"/>
          <w:szCs w:val="32"/>
        </w:rPr>
        <w:t>（一）关于责令改正的履行方式和期限</w:t>
      </w:r>
    </w:p>
    <w:p w14:paraId="512A12A9">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ascii="Times New Roman" w:hAnsi="Times New Roman" w:eastAsia="仿宋_GB2312"/>
          <w:color w:val="auto"/>
          <w:kern w:val="0"/>
          <w:sz w:val="32"/>
          <w:szCs w:val="32"/>
        </w:rPr>
        <w:t>你单位应于接到本</w:t>
      </w:r>
      <w:r>
        <w:rPr>
          <w:rFonts w:hint="eastAsia" w:ascii="Times New Roman" w:hAnsi="Times New Roman" w:eastAsia="仿宋_GB2312"/>
          <w:color w:val="auto"/>
          <w:kern w:val="0"/>
          <w:sz w:val="32"/>
          <w:szCs w:val="32"/>
          <w:lang w:val="en-US" w:eastAsia="zh-CN"/>
        </w:rPr>
        <w:t>处罚</w:t>
      </w:r>
      <w:r>
        <w:rPr>
          <w:rFonts w:ascii="Times New Roman" w:hAnsi="Times New Roman" w:eastAsia="仿宋_GB2312"/>
          <w:color w:val="auto"/>
          <w:kern w:val="0"/>
          <w:sz w:val="32"/>
          <w:szCs w:val="32"/>
        </w:rPr>
        <w:t>决定书之日起</w:t>
      </w:r>
      <w:r>
        <w:rPr>
          <w:rFonts w:hint="eastAsia" w:eastAsia="仿宋_GB2312"/>
          <w:color w:val="auto"/>
          <w:kern w:val="0"/>
          <w:sz w:val="32"/>
          <w:szCs w:val="32"/>
          <w:lang w:val="en-US" w:eastAsia="zh-CN"/>
        </w:rPr>
        <w:t>60日内</w:t>
      </w:r>
      <w:r>
        <w:rPr>
          <w:rFonts w:ascii="Times New Roman" w:hAnsi="Times New Roman" w:eastAsia="仿宋_GB2312"/>
          <w:color w:val="auto"/>
          <w:kern w:val="0"/>
          <w:sz w:val="32"/>
          <w:szCs w:val="32"/>
        </w:rPr>
        <w:t>改正违法行为</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lang w:val="en-US" w:eastAsia="zh-CN"/>
        </w:rPr>
        <w:t>按照规定完成自动监测设备验收</w:t>
      </w:r>
      <w:r>
        <w:rPr>
          <w:rFonts w:hint="eastAsia" w:eastAsia="仿宋_GB2312"/>
          <w:color w:val="auto"/>
          <w:kern w:val="0"/>
          <w:sz w:val="32"/>
          <w:szCs w:val="32"/>
          <w:lang w:val="en-US" w:eastAsia="zh-CN"/>
        </w:rPr>
        <w:t>工作</w:t>
      </w:r>
      <w:r>
        <w:rPr>
          <w:rFonts w:hint="eastAsia" w:ascii="Times New Roman" w:hAnsi="Times New Roman" w:eastAsia="仿宋_GB2312"/>
          <w:color w:val="auto"/>
          <w:kern w:val="0"/>
          <w:sz w:val="32"/>
          <w:szCs w:val="32"/>
          <w:lang w:val="en-US" w:eastAsia="zh-CN"/>
        </w:rPr>
        <w:t>。</w:t>
      </w:r>
    </w:p>
    <w:p w14:paraId="0B69F015">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楷体"/>
          <w:color w:val="auto"/>
          <w:kern w:val="0"/>
          <w:sz w:val="32"/>
          <w:szCs w:val="32"/>
        </w:rPr>
      </w:pPr>
      <w:r>
        <w:rPr>
          <w:rFonts w:ascii="Times New Roman" w:hAnsi="Times New Roman" w:eastAsia="楷体"/>
          <w:color w:val="auto"/>
          <w:kern w:val="0"/>
          <w:sz w:val="32"/>
          <w:szCs w:val="32"/>
        </w:rPr>
        <w:t>（二）关于</w:t>
      </w:r>
      <w:r>
        <w:rPr>
          <w:rFonts w:hint="eastAsia" w:ascii="Times New Roman" w:hAnsi="Times New Roman" w:eastAsia="楷体"/>
          <w:color w:val="auto"/>
          <w:kern w:val="0"/>
          <w:sz w:val="32"/>
          <w:szCs w:val="32"/>
          <w:lang w:eastAsia="zh-CN"/>
        </w:rPr>
        <w:t>处罚决定</w:t>
      </w:r>
      <w:r>
        <w:rPr>
          <w:rFonts w:ascii="Times New Roman" w:hAnsi="Times New Roman" w:eastAsia="楷体"/>
          <w:color w:val="auto"/>
          <w:kern w:val="0"/>
          <w:sz w:val="32"/>
          <w:szCs w:val="32"/>
        </w:rPr>
        <w:t>的履行方式和期限</w:t>
      </w:r>
    </w:p>
    <w:p w14:paraId="2DFA4BB0">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kern w:val="0"/>
          <w:sz w:val="32"/>
          <w:szCs w:val="32"/>
          <w:lang w:eastAsia="zh-CN"/>
        </w:rPr>
      </w:pPr>
      <w:r>
        <w:rPr>
          <w:rFonts w:hint="eastAsia" w:ascii="Times New Roman" w:hAnsi="Times New Roman" w:eastAsia="仿宋_GB2312"/>
          <w:color w:val="auto"/>
          <w:kern w:val="0"/>
          <w:sz w:val="32"/>
          <w:szCs w:val="32"/>
        </w:rPr>
        <w:t>依据</w:t>
      </w:r>
      <w:r>
        <w:rPr>
          <w:rFonts w:ascii="Times New Roman" w:hAnsi="Times New Roman" w:eastAsia="仿宋_GB2312"/>
          <w:color w:val="auto"/>
          <w:kern w:val="0"/>
          <w:sz w:val="32"/>
          <w:szCs w:val="32"/>
        </w:rPr>
        <w:t>《中华人民共和国行政处罚法》和《罚款决定与罚款收缴分离实施办法》的</w:t>
      </w:r>
      <w:r>
        <w:rPr>
          <w:rFonts w:hint="eastAsia" w:ascii="Times New Roman" w:hAnsi="Times New Roman" w:eastAsia="仿宋_GB2312"/>
          <w:color w:val="auto"/>
          <w:kern w:val="0"/>
          <w:sz w:val="32"/>
          <w:szCs w:val="32"/>
          <w:lang w:val="en-US" w:eastAsia="zh-CN"/>
        </w:rPr>
        <w:t>相关</w:t>
      </w:r>
      <w:r>
        <w:rPr>
          <w:rFonts w:ascii="Times New Roman" w:hAnsi="Times New Roman" w:eastAsia="仿宋_GB2312"/>
          <w:color w:val="auto"/>
          <w:kern w:val="0"/>
          <w:sz w:val="32"/>
          <w:szCs w:val="32"/>
        </w:rPr>
        <w:t>规定，你单位接到本处罚决定书之日起十五日内</w:t>
      </w:r>
      <w:r>
        <w:rPr>
          <w:rFonts w:hint="eastAsia" w:ascii="Times New Roman" w:hAnsi="Times New Roman" w:eastAsia="仿宋_GB2312"/>
          <w:color w:val="auto"/>
          <w:kern w:val="0"/>
          <w:sz w:val="32"/>
          <w:szCs w:val="32"/>
          <w:lang w:val="en-US" w:eastAsia="zh-CN"/>
        </w:rPr>
        <w:t>应</w:t>
      </w:r>
      <w:r>
        <w:rPr>
          <w:rFonts w:ascii="Times New Roman" w:hAnsi="Times New Roman" w:eastAsia="仿宋_GB2312"/>
          <w:color w:val="auto"/>
          <w:kern w:val="0"/>
          <w:sz w:val="32"/>
          <w:szCs w:val="32"/>
        </w:rPr>
        <w:t>领取《非税收入统一缴款书</w:t>
      </w:r>
      <w:r>
        <w:rPr>
          <w:rFonts w:hint="eastAsia" w:ascii="Times New Roman" w:hAnsi="Times New Roman" w:eastAsia="仿宋_GB2312"/>
          <w:color w:val="auto"/>
          <w:kern w:val="0"/>
          <w:sz w:val="32"/>
          <w:szCs w:val="32"/>
        </w:rPr>
        <w:t>（缴款通知书）</w:t>
      </w:r>
      <w:r>
        <w:rPr>
          <w:rFonts w:ascii="Times New Roman" w:hAnsi="Times New Roman" w:eastAsia="仿宋_GB2312"/>
          <w:color w:val="auto"/>
          <w:kern w:val="0"/>
          <w:sz w:val="32"/>
          <w:szCs w:val="32"/>
        </w:rPr>
        <w:t>》并缴至指定银行。你单位逾期不缴纳罚款的，我局</w:t>
      </w:r>
      <w:r>
        <w:rPr>
          <w:rFonts w:hint="eastAsia" w:ascii="Times New Roman" w:hAnsi="Times New Roman" w:eastAsia="仿宋_GB2312"/>
          <w:color w:val="auto"/>
          <w:kern w:val="0"/>
          <w:sz w:val="32"/>
          <w:szCs w:val="32"/>
          <w:lang w:val="en-US" w:eastAsia="zh-CN"/>
        </w:rPr>
        <w:t>可以</w:t>
      </w:r>
      <w:r>
        <w:rPr>
          <w:rFonts w:ascii="Times New Roman" w:hAnsi="Times New Roman" w:eastAsia="仿宋_GB2312"/>
          <w:color w:val="auto"/>
          <w:kern w:val="0"/>
          <w:sz w:val="32"/>
          <w:szCs w:val="32"/>
        </w:rPr>
        <w:t>依法每日按罚款数额的3%加处罚款</w:t>
      </w:r>
      <w:r>
        <w:rPr>
          <w:rFonts w:hint="eastAsia" w:ascii="Times New Roman" w:hAnsi="Times New Roman" w:eastAsia="仿宋_GB2312"/>
          <w:color w:val="auto"/>
          <w:kern w:val="0"/>
          <w:sz w:val="32"/>
          <w:szCs w:val="32"/>
          <w:lang w:eastAsia="zh-CN"/>
        </w:rPr>
        <w:t>。</w:t>
      </w:r>
    </w:p>
    <w:p w14:paraId="2A75A2CA">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720" w:firstLineChars="225"/>
        <w:jc w:val="both"/>
        <w:textAlignment w:val="auto"/>
        <w:rPr>
          <w:rFonts w:ascii="Times New Roman" w:hAnsi="Times New Roman" w:eastAsia="黑体"/>
          <w:color w:val="auto"/>
          <w:kern w:val="0"/>
          <w:sz w:val="32"/>
          <w:szCs w:val="32"/>
          <w:u w:val="single"/>
        </w:rPr>
      </w:pPr>
      <w:r>
        <w:rPr>
          <w:rFonts w:ascii="Times New Roman" w:hAnsi="Times New Roman" w:eastAsia="黑体"/>
          <w:color w:val="auto"/>
          <w:kern w:val="0"/>
          <w:sz w:val="32"/>
          <w:szCs w:val="32"/>
        </w:rPr>
        <w:t>四、申请行政复议或者提起行政诉讼的途径和期限</w:t>
      </w:r>
    </w:p>
    <w:p w14:paraId="2CB9D40F">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仿宋_GB2312"/>
          <w:color w:val="auto"/>
          <w:kern w:val="0"/>
          <w:sz w:val="32"/>
          <w:szCs w:val="32"/>
        </w:rPr>
      </w:pPr>
      <w:r>
        <w:rPr>
          <w:rStyle w:val="13"/>
          <w:rFonts w:hint="eastAsia" w:ascii="Times New Roman" w:hAnsi="Times New Roman" w:eastAsia="仿宋_GB2312"/>
          <w:color w:val="auto"/>
          <w:kern w:val="0"/>
          <w:sz w:val="32"/>
          <w:szCs w:val="32"/>
          <w:u w:val="none"/>
          <w:lang w:val="en-US" w:eastAsia="zh-CN"/>
        </w:rPr>
        <w:t>如对本行政处罚决定不服，你单位可在收到本决定书之日起60日内向天津市人民政府申请行政复议（天津市司法局代收，咨询电话：23082169</w:t>
      </w:r>
      <w:r>
        <w:rPr>
          <w:rFonts w:hint="eastAsia" w:ascii="Times New Roman" w:hAnsi="Times New Roman" w:eastAsia="仿宋_GB2312"/>
          <w:color w:val="auto"/>
          <w:kern w:val="0"/>
          <w:sz w:val="32"/>
          <w:szCs w:val="32"/>
          <w:u w:val="none"/>
          <w:lang w:val="en-US" w:eastAsia="zh-CN"/>
        </w:rPr>
        <w:t>），也可在6个月内直接向天津铁路运输法院提起行政诉讼。你单位如申请行政复议或者提起行政诉讼，不停</w:t>
      </w:r>
      <w:bookmarkStart w:id="9" w:name="_GoBack"/>
      <w:bookmarkEnd w:id="9"/>
      <w:r>
        <w:rPr>
          <w:rFonts w:hint="eastAsia" w:ascii="Times New Roman" w:hAnsi="Times New Roman" w:eastAsia="仿宋_GB2312"/>
          <w:color w:val="auto"/>
          <w:kern w:val="0"/>
          <w:sz w:val="32"/>
          <w:szCs w:val="32"/>
          <w:u w:val="none"/>
          <w:lang w:val="en-US" w:eastAsia="zh-CN"/>
        </w:rPr>
        <w:t>止本行政处罚决定的执行。你单位如逾期不申请行政复议，不提起行政诉讼，又不履行本行政处罚决定的，我局将依法向天津市</w:t>
      </w:r>
      <w:r>
        <w:rPr>
          <w:rStyle w:val="13"/>
          <w:rFonts w:hint="eastAsia" w:ascii="Times New Roman" w:hAnsi="Times New Roman" w:eastAsia="仿宋_GB2312"/>
          <w:color w:val="auto"/>
          <w:kern w:val="0"/>
          <w:sz w:val="32"/>
          <w:szCs w:val="32"/>
          <w:u w:val="none"/>
          <w:lang w:val="en-US" w:eastAsia="zh-CN"/>
        </w:rPr>
        <w:t>南开区人民法院申请强制执行。</w:t>
      </w:r>
    </w:p>
    <w:p w14:paraId="4FBA975C">
      <w:pPr>
        <w:keepNext w:val="0"/>
        <w:keepLines w:val="0"/>
        <w:pageBreakBefore w:val="0"/>
        <w:widowControl w:val="0"/>
        <w:kinsoku/>
        <w:wordWrap/>
        <w:overflowPunct/>
        <w:topLinePunct w:val="0"/>
        <w:autoSpaceDE w:val="0"/>
        <w:autoSpaceDN w:val="0"/>
        <w:bidi w:val="0"/>
        <w:adjustRightInd w:val="0"/>
        <w:snapToGrid w:val="0"/>
        <w:spacing w:line="580" w:lineRule="exact"/>
        <w:jc w:val="left"/>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                                     </w:t>
      </w:r>
    </w:p>
    <w:p w14:paraId="1E73BF90">
      <w:pPr>
        <w:keepNext w:val="0"/>
        <w:keepLines w:val="0"/>
        <w:pageBreakBefore w:val="0"/>
        <w:widowControl w:val="0"/>
        <w:kinsoku/>
        <w:wordWrap/>
        <w:overflowPunct/>
        <w:topLinePunct w:val="0"/>
        <w:autoSpaceDE w:val="0"/>
        <w:autoSpaceDN w:val="0"/>
        <w:bidi w:val="0"/>
        <w:adjustRightInd w:val="0"/>
        <w:snapToGrid w:val="0"/>
        <w:spacing w:line="580" w:lineRule="exact"/>
        <w:jc w:val="left"/>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                            </w:t>
      </w:r>
    </w:p>
    <w:p w14:paraId="6B1CE033">
      <w:pPr>
        <w:keepNext w:val="0"/>
        <w:keepLines w:val="0"/>
        <w:pageBreakBefore w:val="0"/>
        <w:widowControl w:val="0"/>
        <w:kinsoku/>
        <w:wordWrap/>
        <w:overflowPunct/>
        <w:topLinePunct w:val="0"/>
        <w:bidi w:val="0"/>
        <w:adjustRightInd w:val="0"/>
        <w:snapToGrid w:val="0"/>
        <w:spacing w:line="580" w:lineRule="exact"/>
        <w:jc w:val="center"/>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                           </w:t>
      </w:r>
      <w:bookmarkStart w:id="8" w:name="PO_7_QianFaShiJian"/>
      <w:r>
        <w:rPr>
          <w:rFonts w:hint="eastAsia" w:ascii="Times New Roman" w:hAnsi="Times New Roman" w:eastAsia="仿宋_GB2312"/>
          <w:color w:val="auto"/>
          <w:kern w:val="0"/>
          <w:sz w:val="32"/>
          <w:szCs w:val="32"/>
          <w:lang w:eastAsia="zh-CN"/>
        </w:rPr>
        <w:t>202</w:t>
      </w:r>
      <w:r>
        <w:rPr>
          <w:rFonts w:hint="eastAsia" w:eastAsia="仿宋_GB2312"/>
          <w:color w:val="auto"/>
          <w:kern w:val="0"/>
          <w:sz w:val="32"/>
          <w:szCs w:val="32"/>
          <w:lang w:val="en-US" w:eastAsia="zh-CN"/>
        </w:rPr>
        <w:t>6</w:t>
      </w:r>
      <w:r>
        <w:rPr>
          <w:rFonts w:ascii="Times New Roman" w:hAnsi="Times New Roman" w:eastAsia="仿宋_GB2312"/>
          <w:color w:val="auto"/>
          <w:kern w:val="0"/>
          <w:sz w:val="32"/>
          <w:szCs w:val="32"/>
        </w:rPr>
        <w:t>年</w:t>
      </w:r>
      <w:r>
        <w:rPr>
          <w:rFonts w:hint="eastAsia" w:eastAsia="仿宋_GB2312"/>
          <w:color w:val="auto"/>
          <w:kern w:val="0"/>
          <w:sz w:val="32"/>
          <w:szCs w:val="32"/>
          <w:lang w:val="en-US" w:eastAsia="zh-CN"/>
        </w:rPr>
        <w:t>1</w:t>
      </w:r>
      <w:r>
        <w:rPr>
          <w:rFonts w:ascii="Times New Roman" w:hAnsi="Times New Roman" w:eastAsia="仿宋_GB2312"/>
          <w:color w:val="auto"/>
          <w:kern w:val="0"/>
          <w:sz w:val="32"/>
          <w:szCs w:val="32"/>
        </w:rPr>
        <w:t>月</w:t>
      </w:r>
      <w:bookmarkEnd w:id="8"/>
      <w:r>
        <w:rPr>
          <w:rFonts w:hint="eastAsia" w:eastAsia="仿宋_GB2312"/>
          <w:color w:val="auto"/>
          <w:kern w:val="0"/>
          <w:sz w:val="32"/>
          <w:szCs w:val="32"/>
          <w:lang w:val="en-US" w:eastAsia="zh-CN"/>
        </w:rPr>
        <w:t>28</w:t>
      </w:r>
      <w:r>
        <w:rPr>
          <w:rFonts w:ascii="Times New Roman" w:hAnsi="Times New Roman" w:eastAsia="仿宋_GB2312"/>
          <w:color w:val="auto"/>
          <w:kern w:val="0"/>
          <w:sz w:val="32"/>
          <w:szCs w:val="32"/>
        </w:rPr>
        <w:t>日</w:t>
      </w:r>
    </w:p>
    <w:p w14:paraId="7D09E7E9">
      <w:pPr>
        <w:keepNext w:val="0"/>
        <w:keepLines w:val="0"/>
        <w:pageBreakBefore w:val="0"/>
        <w:widowControl w:val="0"/>
        <w:kinsoku/>
        <w:wordWrap/>
        <w:overflowPunct/>
        <w:topLinePunct w:val="0"/>
        <w:bidi w:val="0"/>
        <w:adjustRightInd w:val="0"/>
        <w:snapToGrid w:val="0"/>
        <w:spacing w:line="580" w:lineRule="exact"/>
        <w:jc w:val="center"/>
        <w:textAlignment w:val="auto"/>
        <w:rPr>
          <w:rFonts w:ascii="Times New Roman" w:hAnsi="Times New Roman" w:eastAsia="仿宋_GB2312"/>
          <w:color w:val="auto"/>
          <w:kern w:val="0"/>
          <w:sz w:val="32"/>
          <w:szCs w:val="32"/>
        </w:rPr>
      </w:pPr>
    </w:p>
    <w:p w14:paraId="749940B1">
      <w:pPr>
        <w:keepNext w:val="0"/>
        <w:keepLines w:val="0"/>
        <w:pageBreakBefore w:val="0"/>
        <w:widowControl w:val="0"/>
        <w:kinsoku/>
        <w:wordWrap/>
        <w:overflowPunct/>
        <w:topLinePunct w:val="0"/>
        <w:bidi w:val="0"/>
        <w:adjustRightInd w:val="0"/>
        <w:snapToGrid w:val="0"/>
        <w:spacing w:line="580" w:lineRule="exact"/>
        <w:jc w:val="center"/>
        <w:textAlignment w:val="auto"/>
        <w:rPr>
          <w:rFonts w:ascii="Times New Roman" w:hAnsi="Times New Roman" w:eastAsia="仿宋_GB2312"/>
          <w:color w:val="auto"/>
          <w:kern w:val="0"/>
          <w:sz w:val="32"/>
          <w:szCs w:val="32"/>
        </w:rPr>
      </w:pPr>
    </w:p>
    <w:p w14:paraId="22AD58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80" w:lineRule="exact"/>
        <w:ind w:right="-84" w:rightChars="-35"/>
        <w:jc w:val="left"/>
        <w:textAlignment w:val="auto"/>
        <w:rPr>
          <w:rFonts w:hint="default" w:ascii="Times New Roman" w:hAnsi="Times New Roman" w:eastAsia="仿宋_GB2312" w:cs="Times New Roman"/>
          <w:color w:val="auto"/>
          <w:sz w:val="28"/>
          <w:szCs w:val="28"/>
          <w:highlight w:val="none"/>
          <w:u w:val="none"/>
          <w:lang w:val="en-US" w:eastAsia="zh-CN"/>
        </w:r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sectPr>
      <w:headerReference r:id="rId3" w:type="default"/>
      <w:footerReference r:id="rId4" w:type="default"/>
      <w:pgSz w:w="11907" w:h="16840" w:orient="landscape"/>
      <w:pgMar w:top="2041" w:right="1417" w:bottom="1928" w:left="1531"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
    <w:panose1 w:val="02020404030301010803"/>
    <w:charset w:val="00"/>
    <w:family w:val="roman"/>
    <w:pitch w:val="default"/>
    <w:sig w:usb0="00000000" w:usb1="00000000" w:usb2="00000000" w:usb3="00000000" w:csb0="0000009F" w:csb1="DFD7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7E98B">
    <w:pPr>
      <w:pStyle w:val="7"/>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54438">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MzJmNjhiNmQ3NzBlZjlkYjliZmEyZTc3YWI4YjAifQ=="/>
  </w:docVars>
  <w:rsids>
    <w:rsidRoot w:val="41F81237"/>
    <w:rsid w:val="00010AA6"/>
    <w:rsid w:val="000204AC"/>
    <w:rsid w:val="00043334"/>
    <w:rsid w:val="000657F1"/>
    <w:rsid w:val="0009025B"/>
    <w:rsid w:val="00095A17"/>
    <w:rsid w:val="000D6F4A"/>
    <w:rsid w:val="000E35AD"/>
    <w:rsid w:val="0010341C"/>
    <w:rsid w:val="00121857"/>
    <w:rsid w:val="0013098D"/>
    <w:rsid w:val="0013559F"/>
    <w:rsid w:val="00140468"/>
    <w:rsid w:val="00157F83"/>
    <w:rsid w:val="00173A1F"/>
    <w:rsid w:val="00177446"/>
    <w:rsid w:val="00180054"/>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93512"/>
    <w:rsid w:val="003A15F8"/>
    <w:rsid w:val="003A1FCB"/>
    <w:rsid w:val="003B1577"/>
    <w:rsid w:val="003C05F1"/>
    <w:rsid w:val="003C45C3"/>
    <w:rsid w:val="003C4CF8"/>
    <w:rsid w:val="003D74C6"/>
    <w:rsid w:val="003E1E96"/>
    <w:rsid w:val="003E474C"/>
    <w:rsid w:val="003F2EA1"/>
    <w:rsid w:val="00417624"/>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50EF1"/>
    <w:rsid w:val="008778D2"/>
    <w:rsid w:val="008874CB"/>
    <w:rsid w:val="00895089"/>
    <w:rsid w:val="008A66F0"/>
    <w:rsid w:val="008B4839"/>
    <w:rsid w:val="008B6497"/>
    <w:rsid w:val="008E0B8C"/>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A538F"/>
    <w:rsid w:val="00AC5186"/>
    <w:rsid w:val="00AD0BD6"/>
    <w:rsid w:val="00AF21E9"/>
    <w:rsid w:val="00AF2C63"/>
    <w:rsid w:val="00B1113A"/>
    <w:rsid w:val="00B13545"/>
    <w:rsid w:val="00B16FF4"/>
    <w:rsid w:val="00B51CAA"/>
    <w:rsid w:val="00B56F69"/>
    <w:rsid w:val="00B571CE"/>
    <w:rsid w:val="00B65A78"/>
    <w:rsid w:val="00B77FEE"/>
    <w:rsid w:val="00BA1433"/>
    <w:rsid w:val="00BB3134"/>
    <w:rsid w:val="00BC39CE"/>
    <w:rsid w:val="00BE12F0"/>
    <w:rsid w:val="00BE4261"/>
    <w:rsid w:val="00BF19BB"/>
    <w:rsid w:val="00BF6CF7"/>
    <w:rsid w:val="00C04BE9"/>
    <w:rsid w:val="00C055CB"/>
    <w:rsid w:val="00C0653B"/>
    <w:rsid w:val="00C167DA"/>
    <w:rsid w:val="00C1784D"/>
    <w:rsid w:val="00C47953"/>
    <w:rsid w:val="00C607DE"/>
    <w:rsid w:val="00C727FA"/>
    <w:rsid w:val="00C75797"/>
    <w:rsid w:val="00C94F4E"/>
    <w:rsid w:val="00CA0F93"/>
    <w:rsid w:val="00CC125D"/>
    <w:rsid w:val="00CF1107"/>
    <w:rsid w:val="00D056EC"/>
    <w:rsid w:val="00D063E3"/>
    <w:rsid w:val="00D1024B"/>
    <w:rsid w:val="00D13861"/>
    <w:rsid w:val="00D15117"/>
    <w:rsid w:val="00D26915"/>
    <w:rsid w:val="00D2707E"/>
    <w:rsid w:val="00D31EDD"/>
    <w:rsid w:val="00D71E35"/>
    <w:rsid w:val="00D936DC"/>
    <w:rsid w:val="00D95AE8"/>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54608"/>
    <w:rsid w:val="00F674B8"/>
    <w:rsid w:val="00F73398"/>
    <w:rsid w:val="00F97257"/>
    <w:rsid w:val="00FA0003"/>
    <w:rsid w:val="00FA2B76"/>
    <w:rsid w:val="00FB25AA"/>
    <w:rsid w:val="00FB4879"/>
    <w:rsid w:val="00FC14FB"/>
    <w:rsid w:val="00FD09D1"/>
    <w:rsid w:val="00FE5FB8"/>
    <w:rsid w:val="052438CC"/>
    <w:rsid w:val="053C6B3D"/>
    <w:rsid w:val="0AFC3356"/>
    <w:rsid w:val="0C017A89"/>
    <w:rsid w:val="0C5D1A74"/>
    <w:rsid w:val="0D1742E5"/>
    <w:rsid w:val="0F6E1A5D"/>
    <w:rsid w:val="107C0F57"/>
    <w:rsid w:val="111C12B2"/>
    <w:rsid w:val="14DD2E54"/>
    <w:rsid w:val="171B5F8B"/>
    <w:rsid w:val="177C685E"/>
    <w:rsid w:val="19F14CEE"/>
    <w:rsid w:val="1E353F45"/>
    <w:rsid w:val="22A21A7F"/>
    <w:rsid w:val="235C1401"/>
    <w:rsid w:val="23A72B7A"/>
    <w:rsid w:val="240F0067"/>
    <w:rsid w:val="256B40C4"/>
    <w:rsid w:val="26E50C49"/>
    <w:rsid w:val="2B453C7F"/>
    <w:rsid w:val="2D426A6D"/>
    <w:rsid w:val="2ED80423"/>
    <w:rsid w:val="2F2D7DBA"/>
    <w:rsid w:val="30107E35"/>
    <w:rsid w:val="30936D44"/>
    <w:rsid w:val="33DF60A4"/>
    <w:rsid w:val="358B6F41"/>
    <w:rsid w:val="37342092"/>
    <w:rsid w:val="37A43E9E"/>
    <w:rsid w:val="3B2434F5"/>
    <w:rsid w:val="3B6B3809"/>
    <w:rsid w:val="3C3813DB"/>
    <w:rsid w:val="3F841B92"/>
    <w:rsid w:val="40FF52B5"/>
    <w:rsid w:val="41F81237"/>
    <w:rsid w:val="43841772"/>
    <w:rsid w:val="473367BF"/>
    <w:rsid w:val="48475D0A"/>
    <w:rsid w:val="4AD22D47"/>
    <w:rsid w:val="4E44018F"/>
    <w:rsid w:val="4FF44AB0"/>
    <w:rsid w:val="51935037"/>
    <w:rsid w:val="51C0115F"/>
    <w:rsid w:val="53B96C98"/>
    <w:rsid w:val="5B784E50"/>
    <w:rsid w:val="5B7E19C2"/>
    <w:rsid w:val="5BC40E35"/>
    <w:rsid w:val="5DC07A16"/>
    <w:rsid w:val="5F91207B"/>
    <w:rsid w:val="61457679"/>
    <w:rsid w:val="6C3118E9"/>
    <w:rsid w:val="6C437988"/>
    <w:rsid w:val="6C6F7038"/>
    <w:rsid w:val="6D9C4786"/>
    <w:rsid w:val="70291EB6"/>
    <w:rsid w:val="72D16631"/>
    <w:rsid w:val="72DC74D0"/>
    <w:rsid w:val="72FC55D6"/>
    <w:rsid w:val="73537093"/>
    <w:rsid w:val="747822C2"/>
    <w:rsid w:val="754C4858"/>
    <w:rsid w:val="775D3A77"/>
    <w:rsid w:val="78121F96"/>
    <w:rsid w:val="786618CC"/>
    <w:rsid w:val="7B101826"/>
    <w:rsid w:val="7B7211F3"/>
    <w:rsid w:val="7CC845FD"/>
    <w:rsid w:val="7D345EF0"/>
    <w:rsid w:val="7F8D23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qFormat/>
    <w:uiPriority w:val="0"/>
    <w:pPr>
      <w:keepNext/>
      <w:keepLines/>
      <w:numPr>
        <w:ilvl w:val="1"/>
        <w:numId w:val="2"/>
      </w:numPr>
      <w:spacing w:before="160" w:after="160" w:line="440" w:lineRule="atLeast"/>
      <w:outlineLvl w:val="1"/>
    </w:pPr>
    <w:rPr>
      <w:b/>
      <w:kern w:val="0"/>
      <w:sz w:val="32"/>
      <w:szCs w:val="20"/>
    </w:rPr>
  </w:style>
  <w:style w:type="paragraph" w:styleId="4">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rPr>
  </w:style>
  <w:style w:type="paragraph" w:styleId="5">
    <w:name w:val="heading 4"/>
    <w:basedOn w:val="1"/>
    <w:next w:val="1"/>
    <w:qFormat/>
    <w:uiPriority w:val="0"/>
    <w:pPr>
      <w:keepNext/>
      <w:keepLines/>
      <w:numPr>
        <w:ilvl w:val="3"/>
        <w:numId w:val="2"/>
      </w:numPr>
      <w:spacing w:before="160" w:after="100" w:line="440" w:lineRule="atLeast"/>
      <w:jc w:val="left"/>
      <w:outlineLvl w:val="3"/>
    </w:pPr>
    <w:rPr>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alloon Text"/>
    <w:basedOn w:val="1"/>
    <w:link w:val="14"/>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批注框文本 字符"/>
    <w:link w:val="6"/>
    <w:qFormat/>
    <w:uiPriority w:val="0"/>
    <w:rPr>
      <w:kern w:val="2"/>
      <w:sz w:val="18"/>
      <w:szCs w:val="18"/>
    </w:rPr>
  </w:style>
  <w:style w:type="character" w:customStyle="1" w:styleId="15">
    <w:name w:val="页脚 字符"/>
    <w:link w:val="7"/>
    <w:qFormat/>
    <w:uiPriority w:val="99"/>
    <w:rPr>
      <w:kern w:val="2"/>
      <w:sz w:val="18"/>
      <w:szCs w:val="18"/>
    </w:rPr>
  </w:style>
  <w:style w:type="paragraph" w:customStyle="1" w:styleId="16">
    <w:name w:val="封皮"/>
    <w:basedOn w:val="1"/>
    <w:qFormat/>
    <w:uiPriority w:val="0"/>
    <w:pPr>
      <w:jc w:val="center"/>
    </w:pPr>
    <w:rPr>
      <w:rFonts w:eastAsia="黑体"/>
      <w:b/>
      <w:sz w:val="7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021\2025&#24180;&#25991;&#20070;&#27169;&#26495;\&#25191;&#27861;&#24635;&#38431;2025&#24180;&#24120;&#29992;&#25991;&#20070;&#27169;&#29256;2025.1.23\2025&#24180;&#25991;&#20070;&#27169;&#29256;-2025&#24180;1&#26376;&#26356;&#26032;\22-4.&#34892;&#25919;&#22788;&#32602;&#20915;&#23450;&#20070;&#65288;&#26410;&#30003;&#36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22-4.行政处罚决定书（未申辩）.dot</Template>
  <Pages>4</Pages>
  <Words>1801</Words>
  <Characters>1950</Characters>
  <Lines>8</Lines>
  <Paragraphs>2</Paragraphs>
  <TotalTime>2</TotalTime>
  <ScaleCrop>false</ScaleCrop>
  <LinksUpToDate>false</LinksUpToDate>
  <CharactersWithSpaces>2062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2025-09-09T07:42:00Z</dcterms:created>
  <dc:creator>水果东</dc:creator>
  <cp:lastModifiedBy>水果东</cp:lastModifiedBy>
  <cp:lastPrinted>2026-01-28T03:16:00Z</cp:lastPrinted>
  <dcterms:modified xsi:type="dcterms:W3CDTF">2026-01-30T02:23:36Z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CDA115715CB2464991CF539E37B57939_11</vt:lpwstr>
  </property>
  <property fmtid="{D5CDD505-2E9C-101B-9397-08002B2CF9AE}" pid="4" name="KSOTemplateDocerSaveRecord">
    <vt:lpwstr>eyJoZGlkIjoiZGU5ZGY3YWJhNWE4NTE5YzZjNTNlNGUxM2ZjZjEwOGYiLCJ1c2VySWQiOiIxMzA1Mzk5MjY0In0=</vt:lpwstr>
  </property>
</Properties>
</file>