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D1FF">
      <w:pPr>
        <w:keepNext w:val="0"/>
        <w:keepLines w:val="0"/>
        <w:pageBreakBefore w:val="0"/>
        <w:widowControl w:val="0"/>
        <w:kinsoku/>
        <w:wordWrap/>
        <w:overflowPunct/>
        <w:topLinePunct w:val="0"/>
        <w:autoSpaceDE w:val="0"/>
        <w:autoSpaceDN w:val="0"/>
        <w:bidi w:val="0"/>
        <w:adjustRightInd w:val="0"/>
        <w:snapToGrid w:val="0"/>
        <w:spacing w:line="760" w:lineRule="exact"/>
        <w:ind w:right="0"/>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216E85A8">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0"/>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43F10E6D">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0"/>
        <w:jc w:val="center"/>
        <w:textAlignment w:val="auto"/>
        <w:rPr>
          <w:rFonts w:eastAsia="仿宋_GB2312"/>
          <w:color w:val="auto"/>
          <w:spacing w:val="1"/>
          <w:kern w:val="0"/>
          <w:position w:val="-2"/>
          <w:sz w:val="21"/>
          <w:szCs w:val="21"/>
        </w:rPr>
      </w:pPr>
    </w:p>
    <w:bookmarkEnd w:id="1"/>
    <w:p w14:paraId="407FABEA">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0"/>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4</w:t>
      </w:r>
      <w:r>
        <w:rPr>
          <w:rFonts w:eastAsia="仿宋_GB2312"/>
          <w:color w:val="auto"/>
          <w:kern w:val="0"/>
          <w:position w:val="-2"/>
          <w:sz w:val="32"/>
          <w:szCs w:val="32"/>
        </w:rPr>
        <w:t>〕</w:t>
      </w:r>
      <w:r>
        <w:rPr>
          <w:rFonts w:hint="eastAsia" w:eastAsia="仿宋_GB2312"/>
          <w:color w:val="auto"/>
          <w:kern w:val="0"/>
          <w:sz w:val="32"/>
          <w:szCs w:val="32"/>
          <w:lang w:val="en-US" w:eastAsia="zh-CN"/>
        </w:rPr>
        <w:t>141</w:t>
      </w:r>
      <w:r>
        <w:rPr>
          <w:rFonts w:eastAsia="仿宋_GB2312"/>
          <w:color w:val="auto"/>
          <w:kern w:val="0"/>
          <w:position w:val="-2"/>
          <w:sz w:val="32"/>
          <w:szCs w:val="32"/>
        </w:rPr>
        <w:t>号</w:t>
      </w:r>
    </w:p>
    <w:p w14:paraId="3DB84433">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21"/>
          <w:szCs w:val="21"/>
          <w:lang w:val="en-US" w:eastAsia="zh-CN"/>
        </w:rPr>
      </w:pPr>
    </w:p>
    <w:p w14:paraId="390ED71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当事人名称：天津市宝坻区顺通机动车检测有限公司</w:t>
      </w:r>
    </w:p>
    <w:p w14:paraId="50EBD96E">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统一社会信用代码：91120224341021686R</w:t>
      </w:r>
    </w:p>
    <w:p w14:paraId="1BCB4C1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法定代表人：杨景轩</w:t>
      </w:r>
    </w:p>
    <w:p w14:paraId="311FD40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住所：天津宝坻塑料制品工业区潮阳东路26号</w:t>
      </w:r>
    </w:p>
    <w:p w14:paraId="75002A5B">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你单位环境违法</w:t>
      </w:r>
      <w:r>
        <w:rPr>
          <w:rFonts w:eastAsia="仿宋_GB2312"/>
          <w:color w:val="auto"/>
          <w:kern w:val="0"/>
          <w:position w:val="-2"/>
          <w:sz w:val="32"/>
          <w:szCs w:val="32"/>
        </w:rPr>
        <w:t>一案，我局经调查，现已审查终结。</w:t>
      </w:r>
    </w:p>
    <w:p w14:paraId="0F621170">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5EABE70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信访举报线索，我局于2024年11月12日对你单位进行了检查。你单位主要从事机动车检测检验业务，共建有3条机动车尾气排放检测线，其中汽油车检测线1条、汽柴混检测线2条，已取得《检验检测机构资质认定证书》（证书编号：220205020032），有效期至2028年3月1日。经调查，发现你单位实施了以下环境违法行为：</w:t>
      </w:r>
    </w:p>
    <w:p w14:paraId="103BC7F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现场检查时，你单位正常营业。</w:t>
      </w:r>
    </w:p>
    <w:p w14:paraId="4B6F49E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2023年2月22日采用加载减速法对号牌号码为京APC616的依维柯牌柴油车进行了检验并出具结果为“通过”的《在用车排放检验报告》（报告编号：120115372302221120500218）；</w:t>
      </w:r>
    </w:p>
    <w:p w14:paraId="7A2600EF">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2024年10月11日采用加载减速法对号牌号码为冀F1E259的福田牌柴油车进行了检验并出具结果为“通过”的《在用车排放检验报告》（报告编号：120115372410111641190237）；</w:t>
      </w:r>
    </w:p>
    <w:p w14:paraId="7872499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2024年10月15日采用加载减速法对号牌号码为津ACX206的跃进牌柴油车进行了检验并出具结果为“通过”的《在用车排放检验报告》（报告编号：120115372410151328210215）；</w:t>
      </w:r>
    </w:p>
    <w:p w14:paraId="5368048F">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2024年10月24日采用加载减速法对号牌号码为冀B1YC56的大通牌柴油车进行了检验并出具结果为“通过”的《在用车排放检验报告》（报告编号：120115372410241416340276）。</w:t>
      </w:r>
    </w:p>
    <w:p w14:paraId="4E62B8B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调取上述4辆柴油车2023年2月22日、2024年10月11日、2024年10月15日、2024年10月24日对应的检验视频发现，在尾气排放检验过程中，上述4辆柴油车尾气排放有明显可见黑烟，且2023年2月22日为号牌号码京APC616的柴油车、2024年10月11日为号牌号码冀F1E259的柴油车进行检验时，存在检测人员故意遮挡拍摄车辆尾部摄像头的情形。</w:t>
      </w:r>
    </w:p>
    <w:p w14:paraId="29B80F4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按照《柴油车污染物排放限值及测量方法（自由加速法及加载减速法）》（GB3847-2018）中“8.2.2如果车辆排放有明显可见烟度或烟度值超过林格曼1级，则判定排放检验不合格”的规定，上述4辆柴油车检验结果应判定为不合格。经确认，你单位对上述4辆柴油车排放检验获得一千二百元违法所得。你单位上述行为属于出具虚假排放检验报告。</w:t>
      </w:r>
    </w:p>
    <w:p w14:paraId="4BCD4F7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sz w:val="32"/>
          <w:szCs w:val="32"/>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柴油车污染物排放限值及测量方法（自由加速法及加载减速法）》（GB3847-2018）；你单位提供的4份《在用车排放检验报告》（报告编号分别为：120115372302221120500218、120115372410111641190237、120115372410151328210215、120115372410241416340276）及检验视频、收费明细、《整改报告》；现场拍摄的视频以及营业执照、检验检测机构资质认定证书复印件</w:t>
      </w:r>
      <w:bookmarkEnd w:id="3"/>
      <w:r>
        <w:rPr>
          <w:rFonts w:hint="eastAsia" w:eastAsia="仿宋_GB2312"/>
          <w:color w:val="auto"/>
          <w:sz w:val="32"/>
          <w:szCs w:val="32"/>
          <w:lang w:val="en-US" w:eastAsia="zh-CN"/>
        </w:rPr>
        <w:t>等证据为凭</w:t>
      </w:r>
      <w:r>
        <w:rPr>
          <w:rFonts w:eastAsia="仿宋_GB2312"/>
          <w:color w:val="auto"/>
          <w:sz w:val="32"/>
          <w:szCs w:val="32"/>
        </w:rPr>
        <w:t>。</w:t>
      </w:r>
    </w:p>
    <w:p w14:paraId="139F768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default" w:eastAsia="仿宋_GB2312"/>
          <w:color w:val="auto"/>
          <w:sz w:val="32"/>
          <w:szCs w:val="32"/>
          <w:lang w:val="en-US" w:eastAsia="zh-CN"/>
        </w:rPr>
        <w:t>《中华人民共和国大气污染防治法》第五十四条第一款</w:t>
      </w:r>
      <w:r>
        <w:rPr>
          <w:rFonts w:hint="eastAsia" w:eastAsia="仿宋_GB2312"/>
          <w:color w:val="auto"/>
          <w:sz w:val="32"/>
          <w:szCs w:val="32"/>
          <w:lang w:val="en-US" w:eastAsia="zh-CN"/>
        </w:rPr>
        <w:t>“</w:t>
      </w:r>
      <w:r>
        <w:rPr>
          <w:rFonts w:hint="default" w:eastAsia="仿宋_GB2312"/>
          <w:color w:val="auto"/>
          <w:sz w:val="32"/>
          <w:szCs w:val="32"/>
          <w:lang w:val="en-US" w:eastAsia="zh-CN"/>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eastAsia="仿宋_GB2312"/>
          <w:color w:val="auto"/>
          <w:sz w:val="32"/>
          <w:szCs w:val="32"/>
          <w:lang w:val="en-US" w:eastAsia="zh-CN"/>
        </w:rPr>
        <w:t>。”</w:t>
      </w:r>
      <w:r>
        <w:rPr>
          <w:rFonts w:hint="default" w:eastAsia="仿宋_GB2312"/>
          <w:color w:val="auto"/>
          <w:sz w:val="32"/>
          <w:szCs w:val="32"/>
        </w:rPr>
        <w:t>的</w:t>
      </w:r>
      <w:r>
        <w:rPr>
          <w:rFonts w:hint="eastAsia" w:eastAsia="仿宋_GB2312"/>
          <w:color w:val="auto"/>
          <w:sz w:val="32"/>
          <w:szCs w:val="32"/>
          <w:lang w:eastAsia="zh-CN"/>
        </w:rPr>
        <w:t>规定</w:t>
      </w:r>
      <w:r>
        <w:rPr>
          <w:rFonts w:eastAsia="仿宋_GB2312"/>
          <w:color w:val="auto"/>
          <w:kern w:val="0"/>
          <w:sz w:val="32"/>
          <w:szCs w:val="32"/>
        </w:rPr>
        <w:t>，依法应当予以处罚。</w:t>
      </w:r>
    </w:p>
    <w:p w14:paraId="03A93095">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11</w:t>
      </w:r>
      <w:r>
        <w:rPr>
          <w:rFonts w:eastAsia="仿宋_GB2312"/>
          <w:color w:val="auto"/>
          <w:kern w:val="0"/>
          <w:sz w:val="32"/>
          <w:szCs w:val="32"/>
        </w:rPr>
        <w:t>日</w:t>
      </w:r>
      <w:r>
        <w:rPr>
          <w:rFonts w:hint="eastAsia" w:eastAsia="仿宋_GB2312"/>
          <w:color w:val="auto"/>
          <w:kern w:val="0"/>
          <w:sz w:val="32"/>
          <w:szCs w:val="32"/>
          <w:lang w:eastAsia="zh-CN"/>
        </w:rPr>
        <w:t>作出</w:t>
      </w:r>
      <w:r>
        <w:rPr>
          <w:rFonts w:eastAsia="仿宋_GB2312"/>
          <w:color w:val="auto"/>
          <w:kern w:val="0"/>
          <w:sz w:val="32"/>
          <w:szCs w:val="32"/>
        </w:rPr>
        <w:t>《天津市生态环境局行政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w:t>
      </w:r>
      <w:r>
        <w:rPr>
          <w:rFonts w:hint="eastAsia" w:eastAsia="仿宋_GB2312"/>
          <w:color w:val="auto"/>
          <w:kern w:val="0"/>
          <w:sz w:val="32"/>
          <w:szCs w:val="32"/>
          <w:lang w:val="en-US" w:eastAsia="zh-CN"/>
        </w:rPr>
        <w:t>126</w:t>
      </w:r>
      <w:r>
        <w:rPr>
          <w:rFonts w:eastAsia="仿宋_GB2312"/>
          <w:color w:val="auto"/>
          <w:kern w:val="0"/>
          <w:sz w:val="32"/>
          <w:szCs w:val="32"/>
        </w:rPr>
        <w:t>号），告知你单位违法事实、处罚依据和拟作出的处罚决定，并明确告知你单位</w:t>
      </w:r>
      <w:r>
        <w:rPr>
          <w:rFonts w:hint="eastAsia" w:eastAsia="仿宋_GB2312"/>
          <w:color w:val="auto"/>
          <w:kern w:val="0"/>
          <w:sz w:val="32"/>
          <w:szCs w:val="32"/>
          <w:lang w:val="en-US" w:eastAsia="zh-CN"/>
        </w:rPr>
        <w:t>有权利提出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hint="eastAsia" w:eastAsia="仿宋_GB2312"/>
          <w:color w:val="auto"/>
          <w:kern w:val="0"/>
          <w:sz w:val="32"/>
          <w:szCs w:val="32"/>
        </w:rPr>
        <w:t>年</w:t>
      </w:r>
      <w:r>
        <w:rPr>
          <w:rFonts w:hint="eastAsia" w:eastAsia="仿宋_GB2312"/>
          <w:color w:val="auto"/>
          <w:kern w:val="0"/>
          <w:sz w:val="32"/>
          <w:szCs w:val="32"/>
          <w:lang w:val="en-US" w:eastAsia="zh-CN"/>
        </w:rPr>
        <w:t>12</w:t>
      </w:r>
      <w:r>
        <w:rPr>
          <w:rFonts w:hint="eastAsia" w:eastAsia="仿宋_GB2312"/>
          <w:color w:val="auto"/>
          <w:kern w:val="0"/>
          <w:sz w:val="32"/>
          <w:szCs w:val="32"/>
        </w:rPr>
        <w:t>月</w:t>
      </w:r>
      <w:r>
        <w:rPr>
          <w:rFonts w:hint="eastAsia" w:eastAsia="仿宋_GB2312"/>
          <w:color w:val="auto"/>
          <w:kern w:val="0"/>
          <w:sz w:val="32"/>
          <w:szCs w:val="32"/>
          <w:lang w:val="en-US" w:eastAsia="zh-CN"/>
        </w:rPr>
        <w:t>12</w:t>
      </w:r>
      <w:r>
        <w:rPr>
          <w:rFonts w:hint="eastAsia" w:eastAsia="仿宋_GB2312"/>
          <w:color w:val="auto"/>
          <w:kern w:val="0"/>
          <w:sz w:val="32"/>
          <w:szCs w:val="32"/>
        </w:rPr>
        <w:t>日向你单位送达上述文件，你单位于当日签收。你单位逾期未向我局提出陈述</w:t>
      </w:r>
      <w:r>
        <w:rPr>
          <w:rFonts w:hint="eastAsia" w:eastAsia="仿宋_GB2312"/>
          <w:color w:val="auto"/>
          <w:kern w:val="0"/>
          <w:sz w:val="32"/>
          <w:szCs w:val="32"/>
          <w:lang w:eastAsia="zh-CN"/>
        </w:rPr>
        <w:t>、</w:t>
      </w:r>
      <w:r>
        <w:rPr>
          <w:rFonts w:hint="eastAsia" w:eastAsia="仿宋_GB2312"/>
          <w:color w:val="auto"/>
          <w:kern w:val="0"/>
          <w:sz w:val="32"/>
          <w:szCs w:val="32"/>
        </w:rPr>
        <w:t>申辩意见。</w:t>
      </w:r>
    </w:p>
    <w:p w14:paraId="32D4855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w:t>
      </w:r>
      <w:r>
        <w:rPr>
          <w:rFonts w:hint="eastAsia" w:eastAsia="仿宋_GB2312"/>
          <w:color w:val="auto"/>
          <w:kern w:val="0"/>
          <w:sz w:val="32"/>
          <w:szCs w:val="32"/>
          <w:lang w:val="en-US" w:eastAsia="zh-CN"/>
        </w:rPr>
        <w:t>126</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14:paraId="27CAA734">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lang w:val="en-US" w:eastAsia="zh-CN"/>
        </w:rPr>
        <w:t>经集体审议，本案违法事实清楚、执法程序合法、法律适用准确、自由裁量结论合理。</w:t>
      </w:r>
    </w:p>
    <w:p w14:paraId="7F0D505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14:paraId="7B787BF2">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eastAsia="仿宋_GB2312"/>
          <w:color w:val="auto"/>
          <w:kern w:val="0"/>
          <w:sz w:val="32"/>
          <w:szCs w:val="32"/>
        </w:rPr>
      </w:pPr>
      <w:r>
        <w:rPr>
          <w:rFonts w:eastAsia="仿宋_GB2312"/>
          <w:color w:val="auto"/>
          <w:kern w:val="0"/>
          <w:sz w:val="32"/>
          <w:szCs w:val="32"/>
        </w:rPr>
        <w:t>依</w:t>
      </w:r>
      <w:r>
        <w:rPr>
          <w:rFonts w:hint="default" w:eastAsia="仿宋_GB2312"/>
          <w:color w:val="auto"/>
          <w:kern w:val="0"/>
          <w:sz w:val="32"/>
          <w:szCs w:val="32"/>
          <w:lang w:eastAsia="zh-CN"/>
        </w:rPr>
        <w:t>据</w:t>
      </w:r>
      <w:r>
        <w:rPr>
          <w:rFonts w:hint="default" w:eastAsia="仿宋_GB2312"/>
          <w:color w:val="auto"/>
          <w:kern w:val="0"/>
          <w:sz w:val="32"/>
          <w:szCs w:val="32"/>
          <w:lang w:val="en-US" w:eastAsia="zh-CN"/>
        </w:rPr>
        <w:t>《中华人民共和国大气污染防治法》第一百一十二条第一款</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和《生态环境行政处罚办法》第九条第一款“生态环境主管部门实施行政处罚时，应当责令当事人改正或者限期改正违法行为”</w:t>
      </w:r>
      <w:r>
        <w:rPr>
          <w:rFonts w:hint="default" w:eastAsia="仿宋_GB2312"/>
          <w:color w:val="auto"/>
          <w:kern w:val="0"/>
          <w:sz w:val="32"/>
          <w:szCs w:val="32"/>
        </w:rPr>
        <w:t>的规定，</w:t>
      </w:r>
      <w:r>
        <w:rPr>
          <w:rFonts w:hint="default" w:eastAsia="仿宋_GB2312"/>
          <w:color w:val="auto"/>
          <w:kern w:val="0"/>
          <w:sz w:val="32"/>
          <w:szCs w:val="32"/>
          <w:lang w:val="en-US" w:eastAsia="zh-CN"/>
        </w:rPr>
        <w:t>参照《天津市生态环境行政处罚裁量基准》（津环规范〔2023〕4号）附件序号</w:t>
      </w:r>
      <w:r>
        <w:rPr>
          <w:rFonts w:hint="eastAsia" w:eastAsia="仿宋_GB2312"/>
          <w:color w:val="auto"/>
          <w:kern w:val="0"/>
          <w:sz w:val="32"/>
          <w:szCs w:val="32"/>
          <w:lang w:val="en-US" w:eastAsia="zh-CN"/>
        </w:rPr>
        <w:t>14</w:t>
      </w:r>
      <w:r>
        <w:rPr>
          <w:rFonts w:hint="default" w:eastAsia="仿宋_GB2312"/>
          <w:color w:val="auto"/>
          <w:kern w:val="0"/>
          <w:sz w:val="32"/>
          <w:szCs w:val="32"/>
          <w:lang w:val="en-US" w:eastAsia="zh-CN"/>
        </w:rPr>
        <w:t>的规定</w:t>
      </w:r>
      <w:r>
        <w:rPr>
          <w:rFonts w:hint="eastAsia" w:eastAsia="仿宋_GB2312"/>
          <w:color w:val="auto"/>
          <w:kern w:val="0"/>
          <w:sz w:val="32"/>
          <w:szCs w:val="32"/>
          <w:lang w:val="en-US" w:eastAsia="zh-CN"/>
        </w:rPr>
        <w:t>，</w:t>
      </w:r>
      <w:r>
        <w:rPr>
          <w:rFonts w:hint="default" w:eastAsia="仿宋_GB2312"/>
          <w:color w:val="auto"/>
          <w:kern w:val="0"/>
          <w:sz w:val="32"/>
          <w:szCs w:val="32"/>
        </w:rPr>
        <w:t>我局：</w:t>
      </w:r>
    </w:p>
    <w:p w14:paraId="17A3C63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default" w:eastAsia="仿宋_GB2312"/>
          <w:color w:val="auto"/>
          <w:kern w:val="0"/>
          <w:sz w:val="32"/>
          <w:szCs w:val="32"/>
        </w:rPr>
        <w:t>1.责令你单位</w:t>
      </w:r>
      <w:r>
        <w:rPr>
          <w:rFonts w:hint="default" w:eastAsia="仿宋_GB2312"/>
          <w:color w:val="auto"/>
          <w:kern w:val="0"/>
          <w:sz w:val="32"/>
          <w:szCs w:val="32"/>
          <w:lang w:val="en-US" w:eastAsia="zh-CN"/>
        </w:rPr>
        <w:t>限期三十日内改正违法行为</w:t>
      </w:r>
      <w:r>
        <w:rPr>
          <w:rFonts w:hint="eastAsia" w:eastAsia="仿宋_GB2312"/>
          <w:color w:val="auto"/>
          <w:kern w:val="0"/>
          <w:sz w:val="32"/>
          <w:szCs w:val="32"/>
          <w:lang w:val="en-US" w:eastAsia="zh-CN"/>
        </w:rPr>
        <w:t>；</w:t>
      </w:r>
    </w:p>
    <w:p w14:paraId="4C2138A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2.对你单位</w:t>
      </w:r>
      <w:r>
        <w:rPr>
          <w:rFonts w:hint="default" w:eastAsia="仿宋_GB2312"/>
          <w:color w:val="auto"/>
          <w:kern w:val="0"/>
          <w:sz w:val="32"/>
          <w:szCs w:val="32"/>
          <w:lang w:val="en-US" w:eastAsia="zh-CN"/>
        </w:rPr>
        <w:t>没收违法所得</w:t>
      </w:r>
      <w:r>
        <w:rPr>
          <w:rFonts w:hint="eastAsia" w:eastAsia="仿宋_GB2312"/>
          <w:color w:val="auto"/>
          <w:kern w:val="0"/>
          <w:sz w:val="32"/>
          <w:szCs w:val="32"/>
          <w:lang w:val="en-US" w:eastAsia="zh-CN"/>
        </w:rPr>
        <w:t>一千二百</w:t>
      </w:r>
      <w:r>
        <w:rPr>
          <w:rFonts w:hint="default" w:eastAsia="仿宋_GB2312"/>
          <w:color w:val="auto"/>
          <w:kern w:val="0"/>
          <w:sz w:val="32"/>
          <w:szCs w:val="32"/>
          <w:lang w:val="en-US" w:eastAsia="zh-CN"/>
        </w:rPr>
        <w:t>元</w:t>
      </w:r>
      <w:r>
        <w:rPr>
          <w:rFonts w:hint="eastAsia" w:eastAsia="仿宋_GB2312"/>
          <w:color w:val="auto"/>
          <w:kern w:val="0"/>
          <w:sz w:val="32"/>
          <w:szCs w:val="32"/>
          <w:lang w:val="en-US" w:eastAsia="zh-CN"/>
        </w:rPr>
        <w:t>；</w:t>
      </w:r>
    </w:p>
    <w:p w14:paraId="19980FFA">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lang w:val="en-US" w:eastAsia="zh-CN"/>
        </w:rPr>
        <w:t>3</w:t>
      </w:r>
      <w:r>
        <w:rPr>
          <w:rFonts w:hint="default" w:eastAsia="仿宋_GB2312"/>
          <w:color w:val="auto"/>
          <w:kern w:val="0"/>
          <w:sz w:val="32"/>
          <w:szCs w:val="32"/>
        </w:rPr>
        <w:t>.对你单位处罚款</w:t>
      </w:r>
      <w:r>
        <w:rPr>
          <w:rFonts w:hint="eastAsia" w:eastAsia="仿宋_GB2312"/>
          <w:color w:val="auto"/>
          <w:kern w:val="0"/>
          <w:sz w:val="32"/>
          <w:szCs w:val="32"/>
          <w:lang w:val="en-US" w:eastAsia="zh-CN"/>
        </w:rPr>
        <w:t>十三万</w:t>
      </w:r>
      <w:r>
        <w:rPr>
          <w:rFonts w:hint="default" w:eastAsia="仿宋_GB2312"/>
          <w:color w:val="auto"/>
          <w:kern w:val="0"/>
          <w:sz w:val="32"/>
          <w:szCs w:val="32"/>
        </w:rPr>
        <w:t>元。</w:t>
      </w:r>
    </w:p>
    <w:p w14:paraId="4EF6C4F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14:paraId="118DB864">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14:paraId="3112FB42">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三十日内</w:t>
      </w:r>
      <w:r>
        <w:rPr>
          <w:rFonts w:eastAsia="仿宋_GB2312"/>
          <w:color w:val="auto"/>
          <w:kern w:val="0"/>
          <w:sz w:val="32"/>
          <w:szCs w:val="32"/>
        </w:rPr>
        <w:t>改正违法行为。</w:t>
      </w:r>
      <w:r>
        <w:rPr>
          <w:rFonts w:hint="eastAsia" w:eastAsia="仿宋_GB2312"/>
          <w:color w:val="auto"/>
          <w:kern w:val="0"/>
          <w:sz w:val="32"/>
          <w:szCs w:val="32"/>
          <w:lang w:val="en-US" w:eastAsia="zh-CN"/>
        </w:rPr>
        <w:t>你单位作为机动车排放检验机构应当对检验数据的真实性和准确性负责。</w:t>
      </w:r>
    </w:p>
    <w:p w14:paraId="324DDE3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14:paraId="0040666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14:paraId="27B94FF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720" w:firstLineChars="225"/>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14:paraId="29BFE56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Style w:val="13"/>
          <w:rFonts w:hint="eastAsia" w:eastAsia="仿宋_GB2312"/>
          <w:color w:val="auto"/>
          <w:kern w:val="0"/>
          <w:sz w:val="32"/>
          <w:szCs w:val="32"/>
          <w:u w:val="none"/>
          <w:lang w:val="en-US" w:eastAsia="zh-CN"/>
        </w:rPr>
      </w:pPr>
      <w:r>
        <w:rPr>
          <w:rStyle w:val="13"/>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eastAsia="仿宋_GB2312"/>
          <w:color w:val="auto"/>
          <w:kern w:val="0"/>
          <w:sz w:val="32"/>
          <w:szCs w:val="32"/>
          <w:u w:val="none"/>
          <w:lang w:val="en-US" w:eastAsia="zh-CN"/>
        </w:rPr>
        <w:t>南开区人民法院申请强制执行。</w:t>
      </w:r>
    </w:p>
    <w:p w14:paraId="3C691105">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firstLine="640" w:firstLineChars="200"/>
        <w:jc w:val="both"/>
        <w:textAlignment w:val="auto"/>
        <w:rPr>
          <w:rFonts w:hint="eastAsia" w:eastAsia="仿宋_GB2312"/>
          <w:color w:val="auto"/>
          <w:kern w:val="0"/>
          <w:sz w:val="32"/>
          <w:szCs w:val="32"/>
          <w:lang w:eastAsia="zh-CN"/>
        </w:rPr>
      </w:pPr>
      <w:r>
        <w:rPr>
          <w:rFonts w:hint="eastAsia" w:eastAsia="仿宋_GB2312"/>
          <w:color w:val="auto"/>
          <w:kern w:val="0"/>
          <w:sz w:val="32"/>
          <w:szCs w:val="32"/>
          <w:lang w:val="en-US" w:eastAsia="zh-CN"/>
        </w:rPr>
        <w:t>附件：天津市生态环境局行政处罚信用信息修复提示函</w:t>
      </w:r>
    </w:p>
    <w:p w14:paraId="5F02185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eastAsia="仿宋_GB2312"/>
          <w:color w:val="auto"/>
          <w:kern w:val="0"/>
          <w:sz w:val="32"/>
          <w:szCs w:val="32"/>
          <w:lang w:eastAsia="zh-CN"/>
        </w:rPr>
      </w:pPr>
      <w:bookmarkStart w:id="5" w:name="_GoBack"/>
      <w:bookmarkEnd w:id="5"/>
    </w:p>
    <w:p w14:paraId="1DE3774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eastAsia="仿宋_GB2312"/>
          <w:color w:val="auto"/>
          <w:kern w:val="0"/>
          <w:sz w:val="32"/>
          <w:szCs w:val="32"/>
          <w:lang w:eastAsia="zh-CN"/>
        </w:rPr>
      </w:pPr>
    </w:p>
    <w:p w14:paraId="541F244D">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bookmarkEnd w:id="4"/>
      <w:r>
        <w:rPr>
          <w:rFonts w:hint="eastAsia" w:eastAsia="仿宋_GB2312"/>
          <w:color w:val="auto"/>
          <w:kern w:val="0"/>
          <w:sz w:val="32"/>
          <w:szCs w:val="32"/>
          <w:lang w:val="en-US" w:eastAsia="zh-CN"/>
        </w:rPr>
        <w:t>30</w:t>
      </w:r>
      <w:r>
        <w:rPr>
          <w:rFonts w:eastAsia="仿宋_GB2312"/>
          <w:color w:val="auto"/>
          <w:kern w:val="0"/>
          <w:sz w:val="32"/>
          <w:szCs w:val="32"/>
        </w:rPr>
        <w:t>日</w:t>
      </w:r>
    </w:p>
    <w:p w14:paraId="13C521C7">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2098" w:right="1417" w:bottom="1985"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843C">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92B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72772F1C"/>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C017A89"/>
    <w:rsid w:val="0D1742E5"/>
    <w:rsid w:val="14DD2E54"/>
    <w:rsid w:val="177C685E"/>
    <w:rsid w:val="1E353F45"/>
    <w:rsid w:val="20AF2202"/>
    <w:rsid w:val="235C1401"/>
    <w:rsid w:val="23A72B7A"/>
    <w:rsid w:val="256B40C4"/>
    <w:rsid w:val="272F2466"/>
    <w:rsid w:val="2B453C7F"/>
    <w:rsid w:val="2D426A6D"/>
    <w:rsid w:val="2ED80423"/>
    <w:rsid w:val="30107E35"/>
    <w:rsid w:val="30936D44"/>
    <w:rsid w:val="33DF60A4"/>
    <w:rsid w:val="356A6108"/>
    <w:rsid w:val="358B6F41"/>
    <w:rsid w:val="3B2434F5"/>
    <w:rsid w:val="3B3A43E5"/>
    <w:rsid w:val="3B6B3809"/>
    <w:rsid w:val="3C3813DB"/>
    <w:rsid w:val="3F841B92"/>
    <w:rsid w:val="40FF52B5"/>
    <w:rsid w:val="43841772"/>
    <w:rsid w:val="473367BF"/>
    <w:rsid w:val="48475D0A"/>
    <w:rsid w:val="4AD22D47"/>
    <w:rsid w:val="4E44018F"/>
    <w:rsid w:val="4FF44AB0"/>
    <w:rsid w:val="51935037"/>
    <w:rsid w:val="51C0115F"/>
    <w:rsid w:val="53B96C98"/>
    <w:rsid w:val="5A627A99"/>
    <w:rsid w:val="5B784E50"/>
    <w:rsid w:val="5B7E19C2"/>
    <w:rsid w:val="5BC40E35"/>
    <w:rsid w:val="5DC07A16"/>
    <w:rsid w:val="5F91207B"/>
    <w:rsid w:val="6C3118E9"/>
    <w:rsid w:val="6D9C4786"/>
    <w:rsid w:val="70291EB6"/>
    <w:rsid w:val="70BA5F9E"/>
    <w:rsid w:val="72772F1C"/>
    <w:rsid w:val="72DC74D0"/>
    <w:rsid w:val="73AB58EF"/>
    <w:rsid w:val="786618CC"/>
    <w:rsid w:val="7B101826"/>
    <w:rsid w:val="7B7211F3"/>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 w:type="paragraph" w:customStyle="1" w:styleId="17">
    <w:name w:val="正文1"/>
    <w:next w:val="18"/>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8">
    <w:name w:val="正文文本1"/>
    <w:basedOn w:val="17"/>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025&#24180;&#25191;&#27861;&#24635;&#38431;&#27861;&#24459;&#25991;&#20070;&#27169;&#29256;12.19&#29256;\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2720</Words>
  <Characters>3160</Characters>
  <Lines>8</Lines>
  <Paragraphs>2</Paragraphs>
  <TotalTime>24</TotalTime>
  <ScaleCrop>false</ScaleCrop>
  <LinksUpToDate>false</LinksUpToDate>
  <CharactersWithSpaces>3209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2024-12-20T00:27:00Z</dcterms:created>
  <dc:creator>水果东</dc:creator>
  <cp:lastModifiedBy>水果东</cp:lastModifiedBy>
  <cp:lastPrinted>2024-12-27T00:42:00Z</cp:lastPrinted>
  <dcterms:modified xsi:type="dcterms:W3CDTF">2025-01-02T08:00:31Z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ADCB4A4FC47949AEB59A2902C68DBB9A_11</vt:lpwstr>
  </property>
  <property fmtid="{D5CDD505-2E9C-101B-9397-08002B2CF9AE}" pid="4" name="KSOTemplateDocerSaveRecord">
    <vt:lpwstr>eyJoZGlkIjoiZGU5ZGY3YWJhNWE4NTE5YzZjNTNlNGUxM2ZjZjEwOGYiLCJ1c2VySWQiOiIxMzA1Mzk5MjY0In0=</vt:lpwstr>
  </property>
</Properties>
</file>