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CEF61">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707A5909">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51E24FB">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14:paraId="3B835908">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120</w:t>
      </w:r>
      <w:r>
        <w:rPr>
          <w:rFonts w:eastAsia="仿宋_GB2312"/>
          <w:color w:val="auto"/>
          <w:kern w:val="0"/>
          <w:position w:val="-2"/>
          <w:sz w:val="32"/>
          <w:szCs w:val="32"/>
        </w:rPr>
        <w:t>号</w:t>
      </w:r>
    </w:p>
    <w:p w14:paraId="25963171">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p>
    <w:p w14:paraId="469F77F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textAlignment w:val="auto"/>
        <w:rPr>
          <w:rFonts w:hint="default" w:eastAsia="仿宋_GB2312"/>
          <w:color w:val="auto"/>
          <w:sz w:val="32"/>
          <w:szCs w:val="32"/>
          <w:lang w:val="en-US" w:eastAsia="zh-CN"/>
        </w:rPr>
      </w:pPr>
      <w:r>
        <w:rPr>
          <w:rFonts w:hint="eastAsia" w:eastAsia="仿宋_GB2312"/>
          <w:color w:val="auto"/>
          <w:kern w:val="0"/>
          <w:sz w:val="32"/>
          <w:szCs w:val="32"/>
          <w:lang w:val="en-US" w:eastAsia="zh-CN"/>
        </w:rPr>
        <w:t>当</w:t>
      </w:r>
      <w:r>
        <w:rPr>
          <w:rFonts w:hint="default" w:eastAsia="仿宋_GB2312"/>
          <w:color w:val="auto"/>
          <w:sz w:val="32"/>
          <w:szCs w:val="32"/>
          <w:lang w:val="en-US" w:eastAsia="zh-CN"/>
        </w:rPr>
        <w:t>事人名称：天津市旺鑫诚建筑砌块有限公司</w:t>
      </w:r>
    </w:p>
    <w:p w14:paraId="5EA85645">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统一社会信用代码</w:t>
      </w:r>
      <w:r>
        <w:rPr>
          <w:rFonts w:hint="eastAsia" w:eastAsia="仿宋_GB2312"/>
          <w:color w:val="auto"/>
          <w:sz w:val="32"/>
          <w:szCs w:val="32"/>
          <w:lang w:val="en-US" w:eastAsia="zh-CN"/>
        </w:rPr>
        <w:t>：911202233409274947</w:t>
      </w:r>
    </w:p>
    <w:p w14:paraId="439D71DB">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住所</w:t>
      </w:r>
      <w:r>
        <w:rPr>
          <w:rFonts w:hint="eastAsia" w:eastAsia="仿宋_GB2312"/>
          <w:color w:val="auto"/>
          <w:sz w:val="32"/>
          <w:szCs w:val="32"/>
          <w:lang w:val="en-US" w:eastAsia="zh-CN"/>
        </w:rPr>
        <w:t>：</w:t>
      </w:r>
      <w:r>
        <w:rPr>
          <w:rFonts w:hint="default" w:eastAsia="仿宋_GB2312"/>
          <w:color w:val="auto"/>
          <w:sz w:val="32"/>
          <w:szCs w:val="32"/>
          <w:lang w:val="en-US" w:eastAsia="zh-CN"/>
        </w:rPr>
        <w:t>天津市静海县中旺镇张高庄村205国道东侧1500米</w:t>
      </w:r>
    </w:p>
    <w:p w14:paraId="4F184FD8">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default" w:eastAsia="仿宋_GB2312"/>
          <w:color w:val="auto"/>
          <w:sz w:val="32"/>
          <w:szCs w:val="32"/>
          <w:lang w:val="en-US" w:eastAsia="zh-CN"/>
        </w:rPr>
        <w:t>法定代表人</w:t>
      </w:r>
      <w:r>
        <w:rPr>
          <w:rFonts w:hint="eastAsia" w:eastAsia="仿宋_GB2312"/>
          <w:color w:val="auto"/>
          <w:sz w:val="32"/>
          <w:szCs w:val="32"/>
          <w:lang w:val="en-US" w:eastAsia="zh-CN"/>
        </w:rPr>
        <w:t>：崔璐璐</w:t>
      </w:r>
    </w:p>
    <w:p w14:paraId="300354F4">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059D567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4D8441FB">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我局于2024年5月9日对你单位进行了检查，经调查，发现你单位实施了以下环境违法行为：</w:t>
      </w:r>
    </w:p>
    <w:p w14:paraId="0A2AECFA">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有2条隧道窑正在生产，配套的污染防治设施正在运行。执法人员发现你单位废气自动监控设备烟尘采样管内有物体堵塞管路，现场将烟尘采样管拆开，发现管内有大量棕色多孔固体。经对比试验，烟尘采样管内棕色多孔固体堵塞对烟尘监测仪的监测数据造成明显影响，无法保证在线自动监控设备数据的准确性。</w:t>
      </w:r>
    </w:p>
    <w:p w14:paraId="0E63F9E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《天津市生态环境局现场检查（勘察）笔录》《天津市生态环境局调查询问笔录》、你单位提供的《数据采集仪基本情况》及验收相关材料、现场拍摄的视频以及营业执照复印件</w:t>
      </w:r>
      <w:bookmarkEnd w:id="3"/>
      <w:r>
        <w:rPr>
          <w:rFonts w:hint="eastAsia" w:eastAsia="仿宋_GB2312"/>
          <w:color w:val="auto"/>
          <w:sz w:val="32"/>
          <w:szCs w:val="32"/>
          <w:lang w:val="en-US" w:eastAsia="zh-CN"/>
        </w:rPr>
        <w:t>等证据为凭。</w:t>
      </w:r>
    </w:p>
    <w:p w14:paraId="0D2F13AD">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《中华人民共和国大气污染防治法》第二十四条第一款的规定</w:t>
      </w:r>
      <w:r>
        <w:rPr>
          <w:rFonts w:eastAsia="仿宋_GB2312"/>
          <w:color w:val="auto"/>
          <w:kern w:val="0"/>
          <w:sz w:val="32"/>
          <w:szCs w:val="32"/>
        </w:rPr>
        <w:t>，</w:t>
      </w:r>
      <w:r>
        <w:rPr>
          <w:rFonts w:hint="eastAsia" w:eastAsia="仿宋_GB2312"/>
          <w:color w:val="auto"/>
          <w:sz w:val="32"/>
          <w:szCs w:val="32"/>
          <w:lang w:val="en-US" w:eastAsia="zh-CN"/>
        </w:rPr>
        <w:t>属于未保证监测设备正常运行，</w:t>
      </w:r>
      <w:r>
        <w:rPr>
          <w:rFonts w:eastAsia="仿宋_GB2312"/>
          <w:color w:val="auto"/>
          <w:kern w:val="0"/>
          <w:sz w:val="32"/>
          <w:szCs w:val="32"/>
        </w:rPr>
        <w:t>依法应当予以处罚。</w:t>
      </w:r>
    </w:p>
    <w:p w14:paraId="7593518E">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100</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7</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14:paraId="3B1BE84A">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2024年8月14日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lang w:val="en-US" w:eastAsia="zh-CN"/>
        </w:rPr>
        <w:t>陈述申辩意见及佐证材料</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14:paraId="49FF7FF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1.天津市生态环境局所做出本次处罚的依据证据不足，检查时发现采样管中有异物不能证明会对烟尘采样仪造成影响。</w:t>
      </w:r>
    </w:p>
    <w:p w14:paraId="08419C55">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本单位不应当为被处罚对象。2024年4月生产开工前已经与天津市蓝宇科工贸有限单位（下称为运维单位）签订了设备运维合同并支付了全年的费用。运维单位告知我单位在线监测数据显示正常。5月9日检查发现烟尘采样管中有异物堵塞，该责任应由运维单位承担。</w:t>
      </w:r>
    </w:p>
    <w:p w14:paraId="367CBF6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3.我单位与高月川于2023年10月份签订了承包合同，合同中也约定了由承包人高月川承担所有经营相关的责任。我单位认为根据行政法规定应处罚实际生产经营者，不应该处罚持证单位。</w:t>
      </w:r>
    </w:p>
    <w:p w14:paraId="1363E0B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4.综合以上情况阐述观点：我单位认为根据现有证据不足，希望贵局撤销处罚；在实际生产中，在线自动监测设备已经外包给蓝宇科工贸进行运维维护，生产者已经尽到环保义务，应处罚实际生产者承包人高月川或处罚运维单位。</w:t>
      </w:r>
    </w:p>
    <w:p w14:paraId="4E696E4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100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你单位于2024年8月14日提出的陈述申辩材料等证据为凭。</w:t>
      </w:r>
    </w:p>
    <w:p w14:paraId="5D101D33">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经集体审议研究，你单位提出的陈述申辩意见不影响对本案违法事实的认定，不予采纳。本案违法主体认定准确、违法事实清楚、证据充分、执法程序合法、法律适用准确、处罚幅度裁量合理。</w:t>
      </w:r>
    </w:p>
    <w:p w14:paraId="45DFC13E">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0FFADC0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依据《中华人民共和国大气污染防治法》第一百条第三项的规定，我局：</w:t>
      </w:r>
    </w:p>
    <w:p w14:paraId="41C8202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37BF0935">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2.对你单位处罚款五万元。</w:t>
      </w:r>
    </w:p>
    <w:p w14:paraId="53D8D69B">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456AF07F">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6869BF45">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，在生产过程中保证自动监测设备正常运行</w:t>
      </w:r>
      <w:r>
        <w:rPr>
          <w:rFonts w:eastAsia="仿宋_GB2312"/>
          <w:color w:val="auto"/>
          <w:kern w:val="0"/>
          <w:sz w:val="32"/>
          <w:szCs w:val="32"/>
        </w:rPr>
        <w:t>。</w:t>
      </w:r>
    </w:p>
    <w:p w14:paraId="45AF4AB7">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369C4EF2">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14:paraId="7E172FBE">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14:paraId="293DDF0A">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Style w:val="14"/>
          <w:rFonts w:hint="eastAsia" w:eastAsia="仿宋_GB2312"/>
          <w:color w:val="auto"/>
          <w:kern w:val="0"/>
          <w:sz w:val="32"/>
          <w:szCs w:val="32"/>
          <w:u w:val="none"/>
          <w:lang w:val="en-US" w:eastAsia="zh-CN"/>
        </w:rPr>
      </w:pPr>
      <w:r>
        <w:rPr>
          <w:rFonts w:eastAsia="仿宋_GB2312"/>
          <w:color w:val="auto"/>
          <w:kern w:val="0"/>
          <w:sz w:val="32"/>
          <w:szCs w:val="32"/>
        </w:rPr>
        <w:t>如</w:t>
      </w:r>
      <w:r>
        <w:rPr>
          <w:rStyle w:val="14"/>
          <w:rFonts w:hint="eastAsia" w:eastAsia="仿宋_GB2312"/>
          <w:color w:val="auto"/>
          <w:kern w:val="0"/>
          <w:sz w:val="32"/>
          <w:szCs w:val="32"/>
          <w:u w:val="none"/>
          <w:lang w:val="en-US" w:eastAsia="zh-CN"/>
        </w:rPr>
        <w:t>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5C34C0BD">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附件：行政处罚信息信用修复提示函</w:t>
      </w:r>
    </w:p>
    <w:p w14:paraId="0E862D80">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14:paraId="7FFCC23F">
      <w:pPr>
        <w:keepNext w:val="0"/>
        <w:keepLines w:val="0"/>
        <w:pageBreakBefore w:val="0"/>
        <w:widowControl w:val="0"/>
        <w:kinsoku/>
        <w:wordWrap/>
        <w:overflowPunct/>
        <w:topLinePunct w:val="0"/>
        <w:autoSpaceDE w:val="0"/>
        <w:autoSpaceDN w:val="0"/>
        <w:bidi w:val="0"/>
        <w:adjustRightInd w:val="0"/>
        <w:snapToGrid w:val="0"/>
        <w:spacing w:line="580" w:lineRule="exact"/>
        <w:ind w:right="0"/>
        <w:jc w:val="both"/>
        <w:textAlignment w:val="auto"/>
        <w:rPr>
          <w:rFonts w:hint="eastAsia" w:eastAsia="仿宋_GB2312"/>
          <w:color w:val="auto"/>
          <w:kern w:val="0"/>
          <w:sz w:val="32"/>
          <w:szCs w:val="32"/>
          <w:lang w:eastAsia="zh-CN"/>
        </w:rPr>
      </w:pPr>
    </w:p>
    <w:p w14:paraId="700E3B8E">
      <w:pPr>
        <w:keepNext w:val="0"/>
        <w:keepLines w:val="0"/>
        <w:pageBreakBefore w:val="0"/>
        <w:widowControl w:val="0"/>
        <w:kinsoku/>
        <w:wordWrap/>
        <w:overflowPunct/>
        <w:topLinePunct w:val="0"/>
        <w:autoSpaceDE w:val="0"/>
        <w:autoSpaceDN w:val="0"/>
        <w:bidi w:val="0"/>
        <w:adjustRightInd w:val="0"/>
        <w:snapToGrid w:val="0"/>
        <w:spacing w:line="580" w:lineRule="exact"/>
        <w:ind w:right="0"/>
        <w:jc w:val="both"/>
        <w:textAlignment w:val="auto"/>
        <w:rPr>
          <w:rFonts w:hint="eastAsia" w:eastAsia="仿宋_GB2312"/>
          <w:color w:val="auto"/>
          <w:kern w:val="0"/>
          <w:sz w:val="32"/>
          <w:szCs w:val="32"/>
          <w:lang w:eastAsia="zh-CN"/>
        </w:rPr>
      </w:pPr>
    </w:p>
    <w:p w14:paraId="62515E25">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14:paraId="3597A82A">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bookmarkStart w:id="5" w:name="_GoBack"/>
      <w:bookmarkEnd w:id="5"/>
    </w:p>
    <w:sectPr>
      <w:headerReference r:id="rId3" w:type="default"/>
      <w:footerReference r:id="rId5" w:type="default"/>
      <w:headerReference r:id="rId4" w:type="even"/>
      <w:pgSz w:w="11907" w:h="16840" w:orient="landscape"/>
      <w:pgMar w:top="2041"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6D67">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03F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1115">
    <w:pPr>
      <w:pStyle w:val="9"/>
      <w:pBdr>
        <w:bottom w:val="none" w:color="auto" w:sz="0" w:space="0"/>
      </w:pBdr>
    </w:pPr>
  </w:p>
  <w:p w14:paraId="0B3FF468"/>
  <w:p w14:paraId="73B35D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62277B0"/>
    <w:rsid w:val="06A03EDF"/>
    <w:rsid w:val="06E33C69"/>
    <w:rsid w:val="075524D7"/>
    <w:rsid w:val="07B93B0C"/>
    <w:rsid w:val="08107DEF"/>
    <w:rsid w:val="08A676E1"/>
    <w:rsid w:val="09114283"/>
    <w:rsid w:val="0BEA4C5E"/>
    <w:rsid w:val="0E221F47"/>
    <w:rsid w:val="0F607C6B"/>
    <w:rsid w:val="0F830E9A"/>
    <w:rsid w:val="104D77F9"/>
    <w:rsid w:val="14A22454"/>
    <w:rsid w:val="173B33C8"/>
    <w:rsid w:val="1A3F25F1"/>
    <w:rsid w:val="1B552996"/>
    <w:rsid w:val="1BB8168D"/>
    <w:rsid w:val="1BC26D67"/>
    <w:rsid w:val="1CC54CEB"/>
    <w:rsid w:val="1EB4517A"/>
    <w:rsid w:val="1F6A3919"/>
    <w:rsid w:val="22956632"/>
    <w:rsid w:val="22AA1244"/>
    <w:rsid w:val="2378242F"/>
    <w:rsid w:val="25447B70"/>
    <w:rsid w:val="25735D76"/>
    <w:rsid w:val="26162D5B"/>
    <w:rsid w:val="263461BC"/>
    <w:rsid w:val="27FC4468"/>
    <w:rsid w:val="28287681"/>
    <w:rsid w:val="2ABE5B1A"/>
    <w:rsid w:val="2C86105A"/>
    <w:rsid w:val="2CBF39D4"/>
    <w:rsid w:val="2E2D1CD7"/>
    <w:rsid w:val="2E7E4B4C"/>
    <w:rsid w:val="2EA35576"/>
    <w:rsid w:val="2EDB0A14"/>
    <w:rsid w:val="2F096FCE"/>
    <w:rsid w:val="3037780B"/>
    <w:rsid w:val="312C04D9"/>
    <w:rsid w:val="34FC2C60"/>
    <w:rsid w:val="35847960"/>
    <w:rsid w:val="36DC37DD"/>
    <w:rsid w:val="372B1CAC"/>
    <w:rsid w:val="39BB0884"/>
    <w:rsid w:val="3BA70B39"/>
    <w:rsid w:val="3C7636AF"/>
    <w:rsid w:val="3E516742"/>
    <w:rsid w:val="408542DB"/>
    <w:rsid w:val="427625CC"/>
    <w:rsid w:val="42BA1DF9"/>
    <w:rsid w:val="42DF066D"/>
    <w:rsid w:val="43F84AAE"/>
    <w:rsid w:val="442F10A5"/>
    <w:rsid w:val="46843426"/>
    <w:rsid w:val="468A1FF6"/>
    <w:rsid w:val="473A0DD5"/>
    <w:rsid w:val="47C66189"/>
    <w:rsid w:val="49A445AC"/>
    <w:rsid w:val="4A263D9A"/>
    <w:rsid w:val="4A621736"/>
    <w:rsid w:val="4AF71395"/>
    <w:rsid w:val="4CA7559F"/>
    <w:rsid w:val="4D6435C2"/>
    <w:rsid w:val="4DB90F20"/>
    <w:rsid w:val="4DF56AA7"/>
    <w:rsid w:val="4E393586"/>
    <w:rsid w:val="51935037"/>
    <w:rsid w:val="521C5B03"/>
    <w:rsid w:val="53767495"/>
    <w:rsid w:val="54580B43"/>
    <w:rsid w:val="55977FBC"/>
    <w:rsid w:val="5794182D"/>
    <w:rsid w:val="586D4E7F"/>
    <w:rsid w:val="58F32920"/>
    <w:rsid w:val="5A4853C7"/>
    <w:rsid w:val="5B5C731D"/>
    <w:rsid w:val="5C9F4A39"/>
    <w:rsid w:val="5DD022F3"/>
    <w:rsid w:val="5E5D6572"/>
    <w:rsid w:val="5EC8235B"/>
    <w:rsid w:val="5ECD3BB6"/>
    <w:rsid w:val="61787F41"/>
    <w:rsid w:val="63EC73E1"/>
    <w:rsid w:val="65465834"/>
    <w:rsid w:val="659E7913"/>
    <w:rsid w:val="6964079E"/>
    <w:rsid w:val="6AEC59B8"/>
    <w:rsid w:val="6B1F7E37"/>
    <w:rsid w:val="6BF3652D"/>
    <w:rsid w:val="6C1C590D"/>
    <w:rsid w:val="7029000B"/>
    <w:rsid w:val="70AC3779"/>
    <w:rsid w:val="71F76391"/>
    <w:rsid w:val="72920D86"/>
    <w:rsid w:val="743631A3"/>
    <w:rsid w:val="74B37A23"/>
    <w:rsid w:val="75893AED"/>
    <w:rsid w:val="759748AE"/>
    <w:rsid w:val="76716923"/>
    <w:rsid w:val="76A05966"/>
    <w:rsid w:val="76A20092"/>
    <w:rsid w:val="7776441B"/>
    <w:rsid w:val="78AB5FCC"/>
    <w:rsid w:val="78B6471C"/>
    <w:rsid w:val="78D17E30"/>
    <w:rsid w:val="7AF246CE"/>
    <w:rsid w:val="7DD32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1700</Words>
  <Characters>1810</Characters>
  <Lines>8</Lines>
  <Paragraphs>2</Paragraphs>
  <TotalTime>1</TotalTime>
  <ScaleCrop>false</ScaleCrop>
  <LinksUpToDate>false</LinksUpToDate>
  <CharactersWithSpaces>1834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2024-08-28T06:21:00Z</cp:lastPrinted>
  <dcterms:modified xsi:type="dcterms:W3CDTF">2024-09-02T01:28:41Z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730E82EB171946218D567F6F085AA7F6</vt:lpwstr>
  </property>
</Properties>
</file>