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AC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5" w:name="_GoBack"/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3010450F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03C06EA8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40584AA5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6FE497EA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4E25707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当事人名称：</w:t>
      </w:r>
      <w:r>
        <w:rPr>
          <w:rFonts w:hint="eastAsia" w:eastAsia="仿宋_GB2312"/>
          <w:color w:val="auto"/>
          <w:kern w:val="0"/>
          <w:sz w:val="32"/>
          <w:szCs w:val="32"/>
        </w:rPr>
        <w:t>天津市静海区通海加油站</w:t>
      </w:r>
    </w:p>
    <w:p w14:paraId="50C23E9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统一社会信用代码：91120223104172886T</w:t>
      </w:r>
    </w:p>
    <w:p w14:paraId="79982D1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</w:rPr>
        <w:t>天津市静海区子牙镇王二庄村</w:t>
      </w:r>
    </w:p>
    <w:p w14:paraId="5F4528E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王栋</w:t>
      </w:r>
    </w:p>
    <w:p w14:paraId="77C9A0B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eastAsia="仿宋_GB2312"/>
          <w:color w:val="auto"/>
          <w:kern w:val="0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你单位正常营业。天津市生态环境保护综合行政执法总队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委托天津市生态环境监测中心对你单位4把加油枪的气液比进行监测，并出具《监测报告》〔津环监（监）7-2404007-18号〕。</w:t>
      </w:r>
    </w:p>
    <w:p w14:paraId="1CBC0CA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经调查，</w:t>
      </w:r>
      <w:r>
        <w:rPr>
          <w:rFonts w:hint="eastAsia" w:eastAsia="仿宋_GB2312"/>
          <w:color w:val="auto"/>
          <w:kern w:val="0"/>
          <w:sz w:val="32"/>
          <w:szCs w:val="32"/>
        </w:rPr>
        <w:t>发现你单位实施了以下环境违法行为：</w:t>
      </w:r>
    </w:p>
    <w:p w14:paraId="5EC434B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监测报告》〔津环监（监）7-2404007-18号〕显示：你单位7号加油机的7#加油枪气液比为0.8，6号加油机6#加油枪气液比为0.9，上述2把加油枪气液比不符合《加油站大气污染物排放标准》（GB20952-2020）中“5.3各种加油油气回收系统的气液比均应在大于等于1.0和小于等于1.2范围内”的规定。</w:t>
      </w:r>
    </w:p>
    <w:p w14:paraId="465F1057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eastAsia"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《加油站大气污染物排放标准》（GB20952-2020）、《监测报告》</w:t>
      </w:r>
      <w:bookmarkEnd w:id="3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〔津环监（监）7-2404007-18号〕</w:t>
      </w:r>
      <w:r>
        <w:rPr>
          <w:rFonts w:hint="eastAsia" w:eastAsia="仿宋_GB2312"/>
          <w:color w:val="auto"/>
          <w:kern w:val="0"/>
          <w:sz w:val="32"/>
          <w:szCs w:val="32"/>
        </w:rPr>
        <w:t>、现场拍摄的视频以及营业执照复印件等证据为凭。</w:t>
      </w:r>
    </w:p>
    <w:p w14:paraId="0C6A7D2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你单位上述行为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违反了《中华人民共和国大气污染防治法》第四十七条第二款的规定，属于未按照国家有关规定正常使用油气回收装置的环境违法行为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 w14:paraId="331B6E07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75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 w14:paraId="6E3E91D9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75</w:t>
      </w:r>
      <w:r>
        <w:rPr>
          <w:rFonts w:hint="eastAsia" w:eastAsia="仿宋_GB2312"/>
          <w:color w:val="auto"/>
          <w:kern w:val="0"/>
          <w:sz w:val="32"/>
          <w:szCs w:val="32"/>
        </w:rPr>
        <w:t>号）及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送达回证等证据为凭。</w:t>
      </w:r>
    </w:p>
    <w:p w14:paraId="2A20069D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本案违法事实清楚、执法程序合法、法律适用准确、自由裁量结论合理。</w:t>
      </w:r>
    </w:p>
    <w:p w14:paraId="16EA1061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6E44816F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依据《中华人民共和国大气污染防治法》第一百零八条第四项的规定，我局：</w:t>
      </w:r>
    </w:p>
    <w:p w14:paraId="1767B292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1.责令你单位限期七日内改正违法行为；</w:t>
      </w:r>
    </w:p>
    <w:p w14:paraId="362055A9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2.对你单位处罚款二万元。</w:t>
      </w:r>
    </w:p>
    <w:p w14:paraId="11CBED3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18A54C4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限期七日内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你单位应按照国家有关规定安装油气回收装置并保持正常使用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kern w:val="0"/>
          <w:sz w:val="32"/>
          <w:szCs w:val="32"/>
        </w:rPr>
        <w:t xml:space="preserve">   </w:t>
      </w:r>
    </w:p>
    <w:p w14:paraId="7E59EDB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7CEE8AF7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6A1DCD56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3F96424D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688D5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</w:t>
      </w:r>
    </w:p>
    <w:p w14:paraId="48806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 w14:paraId="76B92A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1FA733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4A74AA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2C8A6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p w14:paraId="70B84F20">
      <w:pPr>
        <w:adjustRightInd w:val="0"/>
        <w:snapToGrid w:val="0"/>
        <w:spacing w:line="360" w:lineRule="auto"/>
        <w:jc w:val="both"/>
        <w:rPr>
          <w:rFonts w:eastAsia="仿宋_GB2312"/>
          <w:color w:val="auto"/>
          <w:kern w:val="0"/>
          <w:sz w:val="28"/>
          <w:szCs w:val="28"/>
        </w:rPr>
      </w:pPr>
    </w:p>
    <w:bookmarkEnd w:id="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0F54A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27ED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D718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8417A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CB938">
    <w:pPr>
      <w:pStyle w:val="8"/>
      <w:pBdr>
        <w:bottom w:val="none" w:color="auto" w:sz="0" w:space="0"/>
      </w:pBdr>
    </w:pPr>
  </w:p>
  <w:p w14:paraId="6CAF887D"/>
  <w:p w14:paraId="34ABA4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5978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DB51D4"/>
    <w:rsid w:val="0DE05630"/>
    <w:rsid w:val="11450D20"/>
    <w:rsid w:val="16FD0578"/>
    <w:rsid w:val="1818698E"/>
    <w:rsid w:val="1BAF0A67"/>
    <w:rsid w:val="1C2C4C0F"/>
    <w:rsid w:val="1D5A32A8"/>
    <w:rsid w:val="1EFE67BF"/>
    <w:rsid w:val="23D96EAA"/>
    <w:rsid w:val="24F15196"/>
    <w:rsid w:val="2A1A666F"/>
    <w:rsid w:val="2B946F65"/>
    <w:rsid w:val="2D3F62BA"/>
    <w:rsid w:val="2D8321C2"/>
    <w:rsid w:val="2EE92518"/>
    <w:rsid w:val="2F662C24"/>
    <w:rsid w:val="30251CCA"/>
    <w:rsid w:val="3214796D"/>
    <w:rsid w:val="335D125C"/>
    <w:rsid w:val="37D1755F"/>
    <w:rsid w:val="38EE6D9D"/>
    <w:rsid w:val="3A282BE0"/>
    <w:rsid w:val="3E4B53BF"/>
    <w:rsid w:val="4154413F"/>
    <w:rsid w:val="450F61CB"/>
    <w:rsid w:val="453C6D29"/>
    <w:rsid w:val="4A3E05CE"/>
    <w:rsid w:val="4A437691"/>
    <w:rsid w:val="4BD91CDD"/>
    <w:rsid w:val="4EDD0158"/>
    <w:rsid w:val="4F731BF1"/>
    <w:rsid w:val="502F15FB"/>
    <w:rsid w:val="503F23C3"/>
    <w:rsid w:val="51935037"/>
    <w:rsid w:val="553A03CB"/>
    <w:rsid w:val="58763D60"/>
    <w:rsid w:val="5A8A419C"/>
    <w:rsid w:val="5BDF2ED1"/>
    <w:rsid w:val="5F7C4535"/>
    <w:rsid w:val="624F5E3E"/>
    <w:rsid w:val="6404560A"/>
    <w:rsid w:val="64285305"/>
    <w:rsid w:val="64F75746"/>
    <w:rsid w:val="66B216B2"/>
    <w:rsid w:val="679D04BA"/>
    <w:rsid w:val="6851522E"/>
    <w:rsid w:val="6C5A27B0"/>
    <w:rsid w:val="72330BA4"/>
    <w:rsid w:val="73744CD2"/>
    <w:rsid w:val="742B7C3A"/>
    <w:rsid w:val="75C53718"/>
    <w:rsid w:val="7690421B"/>
    <w:rsid w:val="788568D7"/>
    <w:rsid w:val="7C317407"/>
    <w:rsid w:val="7CB4442B"/>
    <w:rsid w:val="7D147D66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3</Pages>
  <Words>1375</Words>
  <Characters>1587</Characters>
  <Lines>8</Lines>
  <Paragraphs>2</Paragraphs>
  <TotalTime>19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2024-08-02T00:37:00Z</cp:lastPrinted>
  <dcterms:modified xsi:type="dcterms:W3CDTF">2024-08-02T02:30:28Z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ED665C45EF39425CAC0D919EF11EE86F_13</vt:lpwstr>
  </property>
</Properties>
</file>