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38</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天津市飞龙制管有限公司：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统一社会信用代码：91120116239257609Y</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地址：天津市滨海新区大港太平镇郭庄子村（星河工业区内）</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法定代表人：张水山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11月21日对你单位进行了调查。根据天津市重污染天气应急指挥部发布的《关于启动重污染天气应急响应的通知》《关于终止重污染天气应急响应的通知》，我市2023年11月18日发布重污染天气橙色预警，自2023年11月19日8时起启动Ⅱ级应急响应，自2023年11月22日20时起终止Ⅱ级应急响应。参考你单位《重污染天气应急预案》，你单位重污染天气Ⅱ级应急响应措施为：⑴减少室外原辅材料搬运；⑵厂区室外货场定时洒水，减少扬尘排放；⑶制管车间正常生产；⑷热镀锌车间全部停止生产；⑸停止公路运输。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执法人员现场检查时，你单位3条热镀锌生产线均在生产，属于未按照应急预案要求采取停产、限产等应急措施。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关于启动重污染天气应急响应的通知》《关于终止重污染天气应急响应的通知》、你单位提供的《重污染天气应急预案》、你单位11月21日工况用电查询截图及减排清单查询截图、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《天津市生态环境保护条例》第六十条第二款的规定，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10</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15</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w:t>
      </w:r>
      <w:r>
        <w:rPr>
          <w:rFonts w:hint="eastAsia" w:eastAsia="仿宋_GB2312"/>
          <w:color w:val="auto"/>
          <w:kern w:val="0"/>
          <w:sz w:val="32"/>
          <w:szCs w:val="32"/>
          <w:lang w:eastAsia="zh-CN"/>
        </w:rPr>
        <w:t>实际于</w:t>
      </w:r>
      <w:r>
        <w:rPr>
          <w:rFonts w:hint="eastAsia" w:eastAsia="仿宋_GB2312"/>
          <w:color w:val="auto"/>
          <w:kern w:val="0"/>
          <w:sz w:val="32"/>
          <w:szCs w:val="32"/>
          <w:lang w:val="en-US" w:eastAsia="zh-CN"/>
        </w:rPr>
        <w:t>2024年1月23日向</w:t>
      </w:r>
      <w:r>
        <w:rPr>
          <w:rFonts w:hint="eastAsia" w:eastAsia="仿宋_GB2312"/>
          <w:color w:val="auto"/>
          <w:kern w:val="0"/>
          <w:sz w:val="32"/>
          <w:szCs w:val="32"/>
        </w:rPr>
        <w:t>我局提</w:t>
      </w:r>
      <w:r>
        <w:rPr>
          <w:rFonts w:hint="eastAsia" w:eastAsia="仿宋_GB2312"/>
          <w:color w:val="auto"/>
          <w:kern w:val="0"/>
          <w:sz w:val="32"/>
          <w:szCs w:val="32"/>
          <w:lang w:eastAsia="zh-CN"/>
        </w:rPr>
        <w:t>交</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1.前一天我单位在检查除尘设备，拔掉了循环泵电源，导致循环泵未开启，没有及时发现，只是偶然的疏忽大意并非主观刻意不开启循环泵。</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2.该除尘设备不开启，本身就会导致生产无法正常进行。该循环泵运行成本低且该设备如果长时间不开启会导致房中房酸汽过重，严重影响生产作业，导致生产无法正常进行。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3.由于在重污染天气橙色预警之前，公司销售部与供货方订下合同，在规定的时间内必须交货，延期没有完成合同，该合同的损失全部由我单位负责，因此在这种情况下不得不进行生产。</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4.以后保证措施：确保除尘排污设备正常运行，不再出现类似情况；加强学习重污染天气期间相关法律法规，坚决按照应急预案执行。请求对我单位给予免于处罚或从轻处罚。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eastAsia="zh-CN"/>
        </w:rPr>
        <w:t>事</w:t>
      </w:r>
      <w:r>
        <w:rPr>
          <w:rFonts w:hint="eastAsia" w:eastAsia="仿宋_GB2312"/>
          <w:color w:val="auto"/>
          <w:kern w:val="0"/>
          <w:sz w:val="32"/>
          <w:szCs w:val="32"/>
        </w:rPr>
        <w:t>告字〔20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10</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你单位于2024年1月23日提交的陈述申辩材料等证据为凭。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考虑到你单位积极整改情况，部分采纳你单位陈述申辩意见，依据《中华人民共和国行政处罚法》第三十二条第一项的规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依据《天津市生态环境保护条例》第八十一条的规定，我局：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2.对你单位处罚款四万元。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，在我市</w:t>
      </w:r>
      <w:r>
        <w:rPr>
          <w:rFonts w:hint="eastAsia" w:eastAsia="仿宋_GB2312"/>
          <w:color w:val="auto"/>
          <w:kern w:val="0"/>
          <w:sz w:val="32"/>
          <w:szCs w:val="32"/>
          <w:lang w:val="en-US" w:eastAsia="zh-CN"/>
        </w:rPr>
        <w:t>重污染天气应急响应期间，按照应急预案要求采取停产、限产等应急措施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bookmarkEnd w:id="4"/>
      <w:r>
        <w:rPr>
          <w:rFonts w:hint="eastAsia" w:eastAsia="仿宋_GB2312"/>
          <w:color w:val="auto"/>
          <w:kern w:val="0"/>
          <w:sz w:val="32"/>
          <w:szCs w:val="32"/>
          <w:lang w:val="en-US" w:eastAsia="zh-CN"/>
        </w:rPr>
        <w:t>20</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B24BF2"/>
    <w:rsid w:val="04CF2504"/>
    <w:rsid w:val="05236C2B"/>
    <w:rsid w:val="075524D7"/>
    <w:rsid w:val="07B93B0C"/>
    <w:rsid w:val="08107DEF"/>
    <w:rsid w:val="08A676E1"/>
    <w:rsid w:val="09114283"/>
    <w:rsid w:val="0BEA4C5E"/>
    <w:rsid w:val="0E2462C2"/>
    <w:rsid w:val="0F4E34BC"/>
    <w:rsid w:val="0F830E9A"/>
    <w:rsid w:val="14A22454"/>
    <w:rsid w:val="173B33C8"/>
    <w:rsid w:val="1A3F25F1"/>
    <w:rsid w:val="1B552996"/>
    <w:rsid w:val="1BB8168D"/>
    <w:rsid w:val="1BC26D67"/>
    <w:rsid w:val="1CC54CEB"/>
    <w:rsid w:val="1F6A3919"/>
    <w:rsid w:val="22AA1244"/>
    <w:rsid w:val="2378242F"/>
    <w:rsid w:val="23F41AFB"/>
    <w:rsid w:val="25447B70"/>
    <w:rsid w:val="25735D76"/>
    <w:rsid w:val="26162D5B"/>
    <w:rsid w:val="27FC4468"/>
    <w:rsid w:val="28287681"/>
    <w:rsid w:val="29EB3CB7"/>
    <w:rsid w:val="2ABE5B1A"/>
    <w:rsid w:val="2CBF39D4"/>
    <w:rsid w:val="2E2D1CD7"/>
    <w:rsid w:val="2E7E4B4C"/>
    <w:rsid w:val="2EA35576"/>
    <w:rsid w:val="2F096FCE"/>
    <w:rsid w:val="3037780B"/>
    <w:rsid w:val="30A3118C"/>
    <w:rsid w:val="312C04D9"/>
    <w:rsid w:val="34FC2C60"/>
    <w:rsid w:val="36DC37DD"/>
    <w:rsid w:val="39BB0884"/>
    <w:rsid w:val="3BA13239"/>
    <w:rsid w:val="3BA70B39"/>
    <w:rsid w:val="3C7636AF"/>
    <w:rsid w:val="3E516742"/>
    <w:rsid w:val="3E9C6C46"/>
    <w:rsid w:val="427625CC"/>
    <w:rsid w:val="42BA1DF9"/>
    <w:rsid w:val="43F84AAE"/>
    <w:rsid w:val="442F10A5"/>
    <w:rsid w:val="46843426"/>
    <w:rsid w:val="473A0DD5"/>
    <w:rsid w:val="47C66189"/>
    <w:rsid w:val="49A445AC"/>
    <w:rsid w:val="4A263D9A"/>
    <w:rsid w:val="4AF71395"/>
    <w:rsid w:val="4B3B4A33"/>
    <w:rsid w:val="4CA7559F"/>
    <w:rsid w:val="4D6435C2"/>
    <w:rsid w:val="4DF56AA7"/>
    <w:rsid w:val="4E393586"/>
    <w:rsid w:val="51935037"/>
    <w:rsid w:val="521C5B03"/>
    <w:rsid w:val="53767495"/>
    <w:rsid w:val="54580B43"/>
    <w:rsid w:val="5794182D"/>
    <w:rsid w:val="586D4E7F"/>
    <w:rsid w:val="58F32920"/>
    <w:rsid w:val="5A4853C7"/>
    <w:rsid w:val="5B5C731D"/>
    <w:rsid w:val="5C9F4A39"/>
    <w:rsid w:val="5DD022F3"/>
    <w:rsid w:val="5E5D6572"/>
    <w:rsid w:val="5EC8235B"/>
    <w:rsid w:val="5ECD3BB6"/>
    <w:rsid w:val="61787F41"/>
    <w:rsid w:val="63EC73E1"/>
    <w:rsid w:val="65465834"/>
    <w:rsid w:val="6A1A37A7"/>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3206AF"/>
    <w:rsid w:val="7AF246CE"/>
    <w:rsid w:val="7BA70D1A"/>
    <w:rsid w:val="7E2E5C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3</TotalTime>
  <ScaleCrop>false</ScaleCrop>
  <LinksUpToDate>false</LinksUpToDate>
  <CharactersWithSpaces>1862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2024-01-16T03:59:00Z</cp:lastPrinted>
  <dcterms:modified xsi:type="dcterms:W3CDTF">2024-02-21T00:34:39Z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730E82EB171946218D567F6F085AA7F6</vt:lpwstr>
  </property>
</Properties>
</file>