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19</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default" w:eastAsia="仿宋_GB2312"/>
          <w:color w:val="000000" w:themeColor="text1"/>
          <w:kern w:val="0"/>
          <w:sz w:val="32"/>
          <w:szCs w:val="32"/>
          <w:lang w:val="en-US" w:eastAsia="zh-CN"/>
          <w14:textFill>
            <w14:solidFill>
              <w14:schemeClr w14:val="tx1"/>
            </w14:solidFill>
          </w14:textFill>
        </w:rPr>
        <w:t>天津市胜永腾建筑工程有限</w:t>
      </w:r>
      <w:r>
        <w:rPr>
          <w:rFonts w:hint="eastAsia" w:eastAsia="仿宋_GB2312"/>
          <w:color w:val="000000" w:themeColor="text1"/>
          <w:kern w:val="0"/>
          <w:sz w:val="32"/>
          <w:szCs w:val="32"/>
          <w:lang w:val="en-US" w:eastAsia="zh-CN"/>
          <w14:textFill>
            <w14:solidFill>
              <w14:schemeClr w14:val="tx1"/>
            </w14:solidFill>
          </w14:textFill>
        </w:rPr>
        <w:t>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default" w:eastAsia="仿宋_GB2312"/>
          <w:color w:val="000000" w:themeColor="text1"/>
          <w:kern w:val="0"/>
          <w:sz w:val="32"/>
          <w:szCs w:val="32"/>
          <w:lang w:val="en-US" w:eastAsia="zh-CN"/>
          <w14:textFill>
            <w14:solidFill>
              <w14:schemeClr w14:val="tx1"/>
            </w14:solidFill>
          </w14:textFill>
        </w:rPr>
        <w:t>91120116MAC4T2WD6C</w:t>
      </w:r>
    </w:p>
    <w:p>
      <w:pPr>
        <w:tabs>
          <w:tab w:val="left" w:pos="520"/>
          <w:tab w:val="left" w:pos="1880"/>
          <w:tab w:val="left" w:pos="2940"/>
          <w:tab w:val="left" w:pos="6565"/>
          <w:tab w:val="left" w:pos="6640"/>
          <w:tab w:val="left" w:pos="8940"/>
        </w:tabs>
        <w:autoSpaceDE w:val="0"/>
        <w:autoSpaceDN w:val="0"/>
        <w:adjustRightInd w:val="0"/>
        <w:snapToGrid w:val="0"/>
        <w:spacing w:line="360" w:lineRule="auto"/>
        <w:ind w:left="960" w:hanging="960" w:hangingChars="3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天津自贸试验区（中心商务区）滨海华贸中心-1725（天津）商贸秘书有限公司托管第638号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default" w:eastAsia="仿宋_GB2312"/>
          <w:color w:val="000000" w:themeColor="text1"/>
          <w:kern w:val="0"/>
          <w:sz w:val="32"/>
          <w:szCs w:val="32"/>
          <w:lang w:val="en-US" w:eastAsia="zh-CN"/>
          <w14:textFill>
            <w14:solidFill>
              <w14:schemeClr w14:val="tx1"/>
            </w14:solidFill>
          </w14:textFill>
        </w:rPr>
        <w:t>刘</w:t>
      </w:r>
      <w:r>
        <w:rPr>
          <w:rFonts w:hint="eastAsia" w:eastAsia="仿宋_GB2312"/>
          <w:color w:val="000000" w:themeColor="text1"/>
          <w:kern w:val="0"/>
          <w:sz w:val="32"/>
          <w:szCs w:val="32"/>
          <w:lang w:val="en-US" w:eastAsia="zh-CN"/>
          <w14:textFill>
            <w14:solidFill>
              <w14:schemeClr w14:val="tx1"/>
            </w14:solidFill>
          </w14:textFill>
        </w:rPr>
        <w:t>姗姗</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我局于2023年11月3日对普济河道立交桥（非涉铁跨）维修项目建筑工地进行现场检查，上述施工工地位于北辰区普济河道与南口路交口，是《天津市人民政府关于划定禁止使用高排放非道路移动机械区域的通告》（津政规〔2022〕2号）“二、禁用区范围（一）一类禁用区1.中心城区 环城四区外环线（不含）以内区域为一类禁用区”明确的禁止使用高排放非道路移动机械一类禁用区。经调查，发现你单位实施了以下环境违法行为：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现场检查时，上述施工工地有2台日立牌挖掘机在进行土方施工作业，为你单位所有并入场使用。</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上述两台挖掘机非道路移动机械型式核准达到国家第Ⅱ阶段非道路移动机械柴油机排放标准，属于《天津市人民政府关于划定禁止使用高排放非道路移动机械区域的通告》（津政规〔2022〕2号）“一类禁用区内禁止使用《非道路移动机械用柴油机排气污染物排放限值及测量方法（国Ⅰ、Ⅱ阶段）》（GB 20891—2007）排放标准（含编码登记为X阶段）的挖掘机、装载机、挖掘装载机、压路机、推土机、平地机六类机械。”明确的一类禁用区内禁止使用的高排放非道路移动机械。</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kern w:val="0"/>
          <w:sz w:val="32"/>
          <w:szCs w:val="32"/>
          <w:lang w:val="en-US" w:eastAsia="zh-CN"/>
          <w14:textFill>
            <w14:solidFill>
              <w14:schemeClr w14:val="tx1"/>
            </w14:solidFill>
          </w14:textFill>
        </w:rPr>
        <w:t>《天津市人民政府关于划定禁止使用高排放非道路移动机械区域的通告》（津政规〔2022〕2号）、现场拍摄的设备照片、</w:t>
      </w:r>
      <w:r>
        <w:rPr>
          <w:rFonts w:eastAsia="仿宋_GB2312"/>
          <w:color w:val="000000" w:themeColor="text1"/>
          <w:kern w:val="0"/>
          <w:sz w:val="32"/>
          <w:szCs w:val="32"/>
          <w14:textFill>
            <w14:solidFill>
              <w14:schemeClr w14:val="tx1"/>
            </w14:solidFill>
          </w14:textFill>
        </w:rPr>
        <w:t>现场拍摄的视频以及营业执照复印件</w:t>
      </w:r>
      <w:bookmarkEnd w:id="3"/>
      <w:r>
        <w:rPr>
          <w:rFonts w:eastAsia="仿宋_GB2312"/>
          <w:color w:val="000000" w:themeColor="text1"/>
          <w:kern w:val="0"/>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你单位上述行为违反了</w:t>
      </w:r>
      <w:r>
        <w:rPr>
          <w:rFonts w:hint="eastAsia" w:eastAsia="仿宋_GB2312"/>
          <w:color w:val="000000" w:themeColor="text1"/>
          <w:kern w:val="0"/>
          <w:sz w:val="32"/>
          <w:szCs w:val="32"/>
          <w:lang w:val="en-US" w:eastAsia="zh-CN"/>
          <w14:textFill>
            <w14:solidFill>
              <w14:schemeClr w14:val="tx1"/>
            </w14:solidFill>
          </w14:textFill>
        </w:rPr>
        <w:t>《天津市机动车和非道路移动机械排放污染防治条例》第十二条第一款</w:t>
      </w:r>
      <w:r>
        <w:rPr>
          <w:rFonts w:eastAsia="仿宋_GB2312"/>
          <w:color w:val="000000" w:themeColor="text1"/>
          <w:kern w:val="0"/>
          <w:sz w:val="32"/>
          <w:szCs w:val="32"/>
          <w14:textFill>
            <w14:solidFill>
              <w14:schemeClr w14:val="tx1"/>
            </w14:solidFill>
          </w14:textFill>
        </w:rPr>
        <w:t xml:space="preserve">规定，依法应当予以处罚。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023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18</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248</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20</w:t>
      </w:r>
      <w:r>
        <w:rPr>
          <w:rFonts w:hint="eastAsia" w:eastAsia="仿宋_GB2312"/>
          <w:color w:val="000000" w:themeColor="text1"/>
          <w:kern w:val="0"/>
          <w:sz w:val="32"/>
          <w:szCs w:val="32"/>
          <w14:textFill>
            <w14:solidFill>
              <w14:schemeClr w14:val="tx1"/>
            </w14:solidFill>
          </w14:textFill>
        </w:rPr>
        <w:t>日向你单位</w:t>
      </w:r>
      <w:r>
        <w:rPr>
          <w:rFonts w:hint="eastAsia" w:eastAsia="仿宋_GB2312"/>
          <w:color w:val="000000" w:themeColor="text1"/>
          <w:kern w:val="0"/>
          <w:sz w:val="32"/>
          <w:szCs w:val="32"/>
          <w:lang w:eastAsia="zh-CN"/>
          <w14:textFill>
            <w14:solidFill>
              <w14:schemeClr w14:val="tx1"/>
            </w14:solidFill>
          </w14:textFill>
        </w:rPr>
        <w:t>直接</w:t>
      </w:r>
      <w:r>
        <w:rPr>
          <w:rFonts w:hint="eastAsia" w:eastAsia="仿宋_GB2312"/>
          <w:color w:val="000000" w:themeColor="text1"/>
          <w:kern w:val="0"/>
          <w:sz w:val="32"/>
          <w:szCs w:val="32"/>
          <w14:textFill>
            <w14:solidFill>
              <w14:schemeClr w14:val="tx1"/>
            </w14:solidFill>
          </w14:textFill>
        </w:rPr>
        <w:t>送达上述文件。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lang w:eastAsia="zh-CN"/>
          <w14:textFill>
            <w14:solidFill>
              <w14:schemeClr w14:val="tx1"/>
            </w14:solidFill>
          </w14:textFill>
        </w:rPr>
        <w:t>，主要内容</w:t>
      </w:r>
      <w:r>
        <w:rPr>
          <w:rFonts w:hint="eastAsia" w:eastAsia="仿宋_GB2312"/>
          <w:color w:val="000000" w:themeColor="text1"/>
          <w:kern w:val="0"/>
          <w:sz w:val="32"/>
          <w:szCs w:val="32"/>
          <w14:textFill>
            <w14:solidFill>
              <w14:schemeClr w14:val="tx1"/>
            </w14:solidFill>
          </w14:textFill>
        </w:rPr>
        <w:t>如下：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我公司对相应执法活动无异议，确系我公司未核实排放标准，在普济河道工地租赁使用不合规挖掘机进行土方施工作业，我公司知错认错、坚决改错。11月3日当日，即将挖掘机运出施工现场，今后也不会使用违反环保规定机械进行作业。</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2.疫情至今我公司勉强维持、运转艰难，现临近年底，为保障80多名农民工工资，我公司资金压力十分紧张，实属成立多年以来从未遇到的经营危机，实在难以足额缴纳罚款。 </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3.考虑我公司系触犯、未造成严重后果，且已完成实质性整改以及我公司现面临的经营困境，请酌情减少罚款金额。</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248</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你单位的陈述申辩意见不影响违法事实的成立，但考虑到你单位积极完成整改，采纳你单位的陈述申辩意见，依据《中华人民共和国行政处罚法》第三十二条第一项的规定，对你单位从轻处罚。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依据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《天津市机动车和非道路移动机械排放污染物防治条例》第五十条</w:t>
      </w:r>
      <w:r>
        <w:rPr>
          <w:rFonts w:hint="eastAsia" w:ascii="Times New Roman" w:hAnsi="Times New Roman" w:eastAsia="仿宋_GB2312" w:cs="Times New Roman"/>
          <w:color w:val="000000" w:themeColor="text1"/>
          <w:kern w:val="0"/>
          <w:sz w:val="32"/>
          <w:szCs w:val="32"/>
          <w14:textFill>
            <w14:solidFill>
              <w14:schemeClr w14:val="tx1"/>
            </w14:solidFill>
          </w14:textFill>
        </w:rPr>
        <w:t>的规定，我局：</w:t>
      </w:r>
    </w:p>
    <w:p>
      <w:pPr>
        <w:tabs>
          <w:tab w:val="left" w:pos="8940"/>
        </w:tabs>
        <w:autoSpaceDE w:val="0"/>
        <w:autoSpaceDN w:val="0"/>
        <w:adjustRightInd w:val="0"/>
        <w:snapToGrid w:val="0"/>
        <w:spacing w:line="360" w:lineRule="auto"/>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1.责令你单位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停止使用该非道路移动机械</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对你单位</w:t>
      </w:r>
      <w:r>
        <w:rPr>
          <w:rFonts w:ascii="Times New Roman" w:hAnsi="Times New Roman" w:eastAsia="仿宋_GB2312" w:cs="Times New Roman"/>
          <w:color w:val="000000" w:themeColor="text1"/>
          <w:kern w:val="0"/>
          <w:sz w:val="32"/>
          <w:szCs w:val="32"/>
          <w14:textFill>
            <w14:solidFill>
              <w14:schemeClr w14:val="tx1"/>
            </w14:solidFill>
          </w14:textFill>
        </w:rPr>
        <w:t>处罚款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五万元</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在禁止使用高排放非道路移动机械区域禁止使用高排放非道路移动机械。</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bookmarkStart w:id="5" w:name="_GoBack"/>
      <w:bookmarkEnd w:id="5"/>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4"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bookmarkEnd w:id="4"/>
      <w:r>
        <w:rPr>
          <w:rFonts w:hint="eastAsia" w:eastAsia="仿宋_GB2312"/>
          <w:color w:val="000000" w:themeColor="text1"/>
          <w:kern w:val="0"/>
          <w:sz w:val="32"/>
          <w:szCs w:val="32"/>
          <w:lang w:val="en-US" w:eastAsia="zh-CN"/>
          <w14:textFill>
            <w14:solidFill>
              <w14:schemeClr w14:val="tx1"/>
            </w14:solidFill>
          </w14:textFill>
        </w:rPr>
        <w:t>16</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both"/>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CF6286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1BCA303C"/>
    <w:rsid w:val="1C8E4329"/>
    <w:rsid w:val="1CF6286E"/>
    <w:rsid w:val="23D96EAA"/>
    <w:rsid w:val="24F15196"/>
    <w:rsid w:val="26363759"/>
    <w:rsid w:val="2A1A666F"/>
    <w:rsid w:val="2B946F65"/>
    <w:rsid w:val="2D8321C2"/>
    <w:rsid w:val="2EE92518"/>
    <w:rsid w:val="3214796D"/>
    <w:rsid w:val="35FA042E"/>
    <w:rsid w:val="450F61CB"/>
    <w:rsid w:val="4A3E05CE"/>
    <w:rsid w:val="4A437691"/>
    <w:rsid w:val="4BD91CDD"/>
    <w:rsid w:val="4F731BF1"/>
    <w:rsid w:val="502F15FB"/>
    <w:rsid w:val="503F23C3"/>
    <w:rsid w:val="51935037"/>
    <w:rsid w:val="553A03CB"/>
    <w:rsid w:val="58763D60"/>
    <w:rsid w:val="5AA54211"/>
    <w:rsid w:val="5BDF2ED1"/>
    <w:rsid w:val="5F7C4535"/>
    <w:rsid w:val="624F5E3E"/>
    <w:rsid w:val="62A11A47"/>
    <w:rsid w:val="6404560A"/>
    <w:rsid w:val="64F75746"/>
    <w:rsid w:val="66B216B2"/>
    <w:rsid w:val="679D04BA"/>
    <w:rsid w:val="6851522E"/>
    <w:rsid w:val="69AB3F7B"/>
    <w:rsid w:val="6B416D59"/>
    <w:rsid w:val="6C5A27B0"/>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5">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6">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6495;-24&#24180;1&#26376;&#26356;&#26032;\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4</TotalTime>
  <ScaleCrop>false</ScaleCrop>
  <LinksUpToDate>false</LinksUpToDate>
  <CharactersWithSpaces>1374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2024-01-05T06:39:00Z</dcterms:created>
  <dc:creator>暗香</dc:creator>
  <cp:lastModifiedBy>暗香</cp:lastModifiedBy>
  <cp:lastPrinted>2024-01-12T01:31:00Z</cp:lastPrinted>
  <dcterms:modified xsi:type="dcterms:W3CDTF">2024-01-18T07:17:17Z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F10571C4D7014612987826CD6D5B52ED_11</vt:lpwstr>
  </property>
</Properties>
</file>