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217</w:t>
      </w:r>
      <w:r>
        <w:rPr>
          <w:rFonts w:eastAsia="仿宋_GB2312"/>
          <w:color w:val="auto"/>
          <w:kern w:val="0"/>
          <w:position w:val="-2"/>
          <w:sz w:val="32"/>
          <w:szCs w:val="32"/>
        </w:rPr>
        <w:t>号</w:t>
      </w: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天津宝泰市政工程有限公司</w:t>
      </w:r>
      <w:r>
        <w:rPr>
          <w:rFonts w:ascii="Times New Roman" w:hAnsi="Times New Roman" w:eastAsia="仿宋_GB2312" w:cs="Times New Roman"/>
          <w:color w:val="auto"/>
          <w:kern w:val="0"/>
          <w:sz w:val="32"/>
          <w:szCs w:val="32"/>
        </w:rPr>
        <w:t>：</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统一社会信用代码：</w:t>
      </w:r>
      <w:r>
        <w:rPr>
          <w:rFonts w:hint="eastAsia" w:ascii="Times New Roman" w:hAnsi="Times New Roman" w:eastAsia="仿宋_GB2312" w:cs="Times New Roman"/>
          <w:color w:val="auto"/>
          <w:kern w:val="0"/>
          <w:sz w:val="32"/>
          <w:szCs w:val="32"/>
          <w:lang w:val="en-US" w:eastAsia="zh-CN"/>
        </w:rPr>
        <w:t>91120102MA05X2RE39</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auto"/>
          <w:sz w:val="32"/>
          <w:szCs w:val="32"/>
        </w:rPr>
      </w:pPr>
      <w:r>
        <w:rPr>
          <w:rFonts w:eastAsia="仿宋_GB2312"/>
          <w:color w:val="auto"/>
          <w:kern w:val="0"/>
          <w:sz w:val="32"/>
          <w:szCs w:val="32"/>
        </w:rPr>
        <w:t>地址：</w:t>
      </w:r>
      <w:r>
        <w:rPr>
          <w:rFonts w:hint="default" w:ascii="Times New Roman" w:hAnsi="Times New Roman" w:eastAsia="仿宋_GB2312" w:cs="Times New Roman"/>
          <w:color w:val="auto"/>
          <w:sz w:val="32"/>
          <w:szCs w:val="32"/>
        </w:rPr>
        <w:t>天津市河东区月牙河北路6号平房增1号</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法定代表人：</w:t>
      </w:r>
      <w:r>
        <w:rPr>
          <w:rFonts w:hint="default" w:eastAsia="仿宋_GB2312"/>
          <w:color w:val="auto"/>
          <w:kern w:val="0"/>
          <w:sz w:val="32"/>
          <w:szCs w:val="32"/>
        </w:rPr>
        <w:t>刘文江</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0" w:lineRule="exact"/>
        <w:ind w:firstLine="640" w:firstLineChars="200"/>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我局于2023年8月8日对天津地铁11号线一期工程6标项目工地进行现场检查，上述施工工地位于天津市东丽区地铁11号线雪莲南路站，为《天津市人民政府关于划定禁止使用高排放非道路移动机械区域的通告》（津政规〔2022〕2号）规定的禁止使用高排放非道路移动机械一类禁用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0" w:lineRule="exact"/>
        <w:ind w:firstLine="640" w:firstLineChars="200"/>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经调查，发现你单位实施了以下环境违法行为：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0" w:lineRule="exact"/>
        <w:ind w:firstLine="640" w:firstLineChars="200"/>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现场检查时，上述施工工地有一台住友建机制造株式会社挖掘机（机械登记信息标号：2-20012982，机械型号：SH200-3,机械编号：6BG1-XABEC-03-C2）正在作业，为你单位所有并入场使用。市生态环境监测中心监测人员对上述挖掘机进行采样监测，并出具《监测报告》（津环监（监）7-2308019-7号），显示上述挖掘机光吸收系数的监测结果为2.48m</w:t>
      </w:r>
      <w:r>
        <w:rPr>
          <w:rFonts w:hint="eastAsia" w:eastAsia="仿宋_GB2312"/>
          <w:color w:val="auto"/>
          <w:kern w:val="0"/>
          <w:sz w:val="32"/>
          <w:szCs w:val="32"/>
          <w:vertAlign w:val="superscript"/>
          <w:lang w:val="en-US" w:eastAsia="zh-CN"/>
        </w:rPr>
        <w:t>-1</w:t>
      </w:r>
      <w:r>
        <w:rPr>
          <w:rFonts w:hint="eastAsia" w:eastAsia="仿宋_GB2312"/>
          <w:color w:val="auto"/>
          <w:kern w:val="0"/>
          <w:sz w:val="32"/>
          <w:szCs w:val="32"/>
          <w:lang w:val="en-US" w:eastAsia="zh-CN"/>
        </w:rPr>
        <w:t>，不符合《非道路柴油移动机械排气烟度限值及测量方法》4.1Ⅲ类限值“额定净功率&lt;37 光吸收系数0.80m</w:t>
      </w:r>
      <w:r>
        <w:rPr>
          <w:rFonts w:hint="eastAsia" w:eastAsia="仿宋_GB2312"/>
          <w:color w:val="auto"/>
          <w:kern w:val="0"/>
          <w:sz w:val="32"/>
          <w:szCs w:val="32"/>
          <w:vertAlign w:val="superscript"/>
          <w:lang w:val="en-US" w:eastAsia="zh-CN"/>
        </w:rPr>
        <w:t>-1</w:t>
      </w:r>
      <w:r>
        <w:rPr>
          <w:rFonts w:hint="eastAsia" w:eastAsia="仿宋_GB2312"/>
          <w:color w:val="auto"/>
          <w:kern w:val="0"/>
          <w:sz w:val="32"/>
          <w:szCs w:val="32"/>
          <w:lang w:val="en-US" w:eastAsia="zh-CN"/>
        </w:rPr>
        <w:t xml:space="preserve"> ，额定净功率Pmax≧37 光吸收系数0.50m</w:t>
      </w:r>
      <w:r>
        <w:rPr>
          <w:rFonts w:hint="eastAsia" w:eastAsia="仿宋_GB2312"/>
          <w:color w:val="auto"/>
          <w:kern w:val="0"/>
          <w:sz w:val="32"/>
          <w:szCs w:val="32"/>
          <w:vertAlign w:val="superscript"/>
          <w:lang w:val="en-US" w:eastAsia="zh-CN"/>
        </w:rPr>
        <w:t>-1</w:t>
      </w:r>
      <w:r>
        <w:rPr>
          <w:rFonts w:hint="eastAsia" w:eastAsia="仿宋_GB2312"/>
          <w:color w:val="auto"/>
          <w:kern w:val="0"/>
          <w:sz w:val="32"/>
          <w:szCs w:val="32"/>
          <w:lang w:val="en-US" w:eastAsia="zh-CN"/>
        </w:rPr>
        <w:t>”规定。</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0" w:lineRule="exact"/>
        <w:ind w:firstLine="640" w:firstLineChars="200"/>
        <w:textAlignment w:val="auto"/>
        <w:rPr>
          <w:rFonts w:eastAsia="仿宋_GB2312"/>
          <w:color w:val="auto"/>
          <w:sz w:val="32"/>
          <w:szCs w:val="32"/>
        </w:rPr>
      </w:pPr>
      <w:r>
        <w:rPr>
          <w:rFonts w:eastAsia="仿宋_GB2312"/>
          <w:color w:val="auto"/>
          <w:kern w:val="0"/>
          <w:sz w:val="32"/>
          <w:szCs w:val="32"/>
        </w:rPr>
        <w:t>以上事实，有</w:t>
      </w:r>
      <w:bookmarkStart w:id="3" w:name="PO_4_ShiShiZhengJu"/>
      <w:r>
        <w:rPr>
          <w:rFonts w:eastAsia="仿宋_GB2312"/>
          <w:color w:val="auto"/>
          <w:kern w:val="0"/>
          <w:sz w:val="32"/>
          <w:szCs w:val="32"/>
        </w:rPr>
        <w:t>《天津市生态环境局现场检查（勘察）笔录》《天津市生态环境局调查询问笔录》</w:t>
      </w:r>
      <w:r>
        <w:rPr>
          <w:rFonts w:hint="eastAsia" w:eastAsia="仿宋_GB2312"/>
          <w:color w:val="auto"/>
          <w:kern w:val="0"/>
          <w:sz w:val="32"/>
          <w:szCs w:val="32"/>
          <w:lang w:val="en-US" w:eastAsia="zh-CN"/>
        </w:rPr>
        <w:t>《场地平整施工合同》</w:t>
      </w:r>
      <w:r>
        <w:rPr>
          <w:rFonts w:hint="eastAsia" w:eastAsia="仿宋_GB2312"/>
          <w:color w:val="auto"/>
          <w:sz w:val="32"/>
          <w:szCs w:val="32"/>
          <w:lang w:val="en-US" w:eastAsia="zh-CN"/>
        </w:rPr>
        <w:t>《天津市人民政府关于划定禁止使用高排放非道路移动机械区域的通告》（津政规〔2022〕2号）</w:t>
      </w:r>
      <w:r>
        <w:rPr>
          <w:rFonts w:hint="eastAsia" w:eastAsia="仿宋_GB2312"/>
          <w:color w:val="auto"/>
          <w:sz w:val="32"/>
          <w:szCs w:val="32"/>
          <w:lang w:eastAsia="zh-CN"/>
        </w:rPr>
        <w:t>、</w:t>
      </w:r>
      <w:r>
        <w:rPr>
          <w:rFonts w:hint="eastAsia" w:eastAsia="仿宋_GB2312"/>
          <w:color w:val="auto"/>
          <w:sz w:val="32"/>
          <w:szCs w:val="32"/>
          <w:lang w:val="en-US" w:eastAsia="zh-CN"/>
        </w:rPr>
        <w:t>《监测报告》（</w:t>
      </w:r>
      <w:r>
        <w:rPr>
          <w:rFonts w:hint="eastAsia" w:eastAsia="仿宋_GB2312"/>
          <w:color w:val="auto"/>
          <w:kern w:val="0"/>
          <w:sz w:val="32"/>
          <w:szCs w:val="32"/>
          <w:lang w:val="en-US" w:eastAsia="zh-CN"/>
        </w:rPr>
        <w:t>津环监（监）7-2308019-7号</w:t>
      </w:r>
      <w:r>
        <w:rPr>
          <w:rFonts w:hint="eastAsia" w:eastAsia="仿宋_GB2312"/>
          <w:color w:val="auto"/>
          <w:sz w:val="32"/>
          <w:szCs w:val="32"/>
          <w:lang w:val="en-US" w:eastAsia="zh-CN"/>
        </w:rPr>
        <w:t>）、《非道路柴油移动机械排气烟度限值及测量方法》（GB 36886—2018）、</w:t>
      </w:r>
      <w:r>
        <w:rPr>
          <w:rFonts w:eastAsia="仿宋_GB2312"/>
          <w:color w:val="auto"/>
          <w:sz w:val="32"/>
          <w:szCs w:val="32"/>
        </w:rPr>
        <w:t>现场拍摄的视频以及营业执照复印件</w:t>
      </w:r>
      <w:bookmarkEnd w:id="3"/>
      <w:r>
        <w:rPr>
          <w:rFonts w:eastAsia="仿宋_GB2312"/>
          <w:color w:val="auto"/>
          <w:sz w:val="32"/>
          <w:szCs w:val="32"/>
        </w:rPr>
        <w:t>等证据为凭。</w:t>
      </w:r>
    </w:p>
    <w:p>
      <w:pPr>
        <w:tabs>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eastAsia="仿宋_GB2312"/>
          <w:color w:val="auto"/>
          <w:sz w:val="32"/>
          <w:szCs w:val="32"/>
        </w:rPr>
        <w:t>你单位上述行为违反了</w:t>
      </w:r>
      <w:r>
        <w:rPr>
          <w:rFonts w:hint="eastAsia" w:eastAsia="仿宋_GB2312"/>
          <w:color w:val="auto"/>
          <w:sz w:val="32"/>
          <w:szCs w:val="32"/>
          <w:lang w:val="en-US" w:eastAsia="zh-CN"/>
        </w:rPr>
        <w:t>《天津市机动车和非道路移动机械排放污染防治条例》第十二条第一款</w:t>
      </w:r>
      <w:r>
        <w:rPr>
          <w:rFonts w:eastAsia="仿宋_GB2312"/>
          <w:color w:val="auto"/>
          <w:sz w:val="32"/>
          <w:szCs w:val="32"/>
        </w:rPr>
        <w:t>的规定</w:t>
      </w:r>
      <w:r>
        <w:rPr>
          <w:rFonts w:hint="eastAsia" w:eastAsia="仿宋_GB2312"/>
          <w:color w:val="auto"/>
          <w:sz w:val="32"/>
          <w:szCs w:val="32"/>
          <w:lang w:eastAsia="zh-CN"/>
        </w:rPr>
        <w:t>，属于</w:t>
      </w:r>
      <w:r>
        <w:rPr>
          <w:rFonts w:hint="eastAsia" w:eastAsia="仿宋_GB2312"/>
          <w:color w:val="auto"/>
          <w:sz w:val="32"/>
          <w:szCs w:val="32"/>
          <w:lang w:val="en-US" w:eastAsia="zh-CN"/>
        </w:rPr>
        <w:t>在禁止使用高排放非道路移动机械区域使用高排放非道路移动机械</w:t>
      </w:r>
      <w:r>
        <w:rPr>
          <w:rFonts w:eastAsia="仿宋_GB2312"/>
          <w:color w:val="auto"/>
          <w:kern w:val="0"/>
          <w:sz w:val="32"/>
          <w:szCs w:val="32"/>
        </w:rPr>
        <w:t xml:space="preserve">，依法应当予以处罚。 </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9</w:t>
      </w:r>
      <w:r>
        <w:rPr>
          <w:rFonts w:eastAsia="仿宋_GB2312"/>
          <w:color w:val="auto"/>
          <w:kern w:val="0"/>
          <w:sz w:val="32"/>
          <w:szCs w:val="32"/>
        </w:rPr>
        <w:t>月</w:t>
      </w:r>
      <w:r>
        <w:rPr>
          <w:rFonts w:hint="eastAsia" w:eastAsia="仿宋_GB2312"/>
          <w:color w:val="auto"/>
          <w:kern w:val="0"/>
          <w:sz w:val="32"/>
          <w:szCs w:val="32"/>
          <w:lang w:val="en-US" w:eastAsia="zh-CN"/>
        </w:rPr>
        <w:t>28</w:t>
      </w:r>
      <w:r>
        <w:rPr>
          <w:rFonts w:eastAsia="仿宋_GB2312"/>
          <w:color w:val="auto"/>
          <w:kern w:val="0"/>
          <w:sz w:val="32"/>
          <w:szCs w:val="32"/>
        </w:rPr>
        <w:t>日以《天津市生态环境局行政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158</w:t>
      </w:r>
      <w:r>
        <w:rPr>
          <w:rFonts w:eastAsia="仿宋_GB2312"/>
          <w:color w:val="auto"/>
          <w:kern w:val="0"/>
          <w:sz w:val="32"/>
          <w:szCs w:val="32"/>
        </w:rPr>
        <w:t>号），告知你单位违法事实、处罚依据和拟作出的处罚决定，并明确告知你单位有权</w:t>
      </w:r>
      <w:r>
        <w:rPr>
          <w:rFonts w:hint="eastAsia" w:eastAsia="仿宋_GB2312"/>
          <w:color w:val="auto"/>
          <w:kern w:val="0"/>
          <w:sz w:val="32"/>
          <w:szCs w:val="32"/>
          <w:lang w:val="en-US" w:eastAsia="zh-CN"/>
        </w:rPr>
        <w:t>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eastAsia="仿宋_GB2312"/>
          <w:color w:val="auto"/>
          <w:kern w:val="0"/>
          <w:sz w:val="32"/>
          <w:szCs w:val="32"/>
        </w:rPr>
        <w:t>。</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10</w:t>
      </w:r>
      <w:r>
        <w:rPr>
          <w:rFonts w:hint="eastAsia" w:eastAsia="仿宋_GB2312"/>
          <w:color w:val="auto"/>
          <w:kern w:val="0"/>
          <w:sz w:val="32"/>
          <w:szCs w:val="32"/>
        </w:rPr>
        <w:t>月</w:t>
      </w:r>
      <w:r>
        <w:rPr>
          <w:rFonts w:hint="eastAsia" w:eastAsia="仿宋_GB2312"/>
          <w:color w:val="auto"/>
          <w:kern w:val="0"/>
          <w:sz w:val="32"/>
          <w:szCs w:val="32"/>
          <w:lang w:val="en-US" w:eastAsia="zh-CN"/>
        </w:rPr>
        <w:t>9</w:t>
      </w:r>
      <w:r>
        <w:rPr>
          <w:rFonts w:hint="eastAsia" w:eastAsia="仿宋_GB2312"/>
          <w:color w:val="auto"/>
          <w:kern w:val="0"/>
          <w:sz w:val="32"/>
          <w:szCs w:val="32"/>
        </w:rPr>
        <w:t>日向你单位送达上述文件，你单位于当日签收。你单位逾期未向我局提出陈述申辩意见。</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158</w:t>
      </w:r>
      <w:r>
        <w:rPr>
          <w:rFonts w:eastAsia="仿宋_GB2312"/>
          <w:color w:val="auto"/>
          <w:kern w:val="0"/>
          <w:sz w:val="32"/>
          <w:szCs w:val="32"/>
        </w:rPr>
        <w:t>号）</w:t>
      </w:r>
      <w:r>
        <w:rPr>
          <w:rFonts w:hint="eastAsia" w:eastAsia="仿宋_GB2312"/>
          <w:color w:val="auto"/>
          <w:kern w:val="0"/>
          <w:sz w:val="32"/>
          <w:szCs w:val="32"/>
        </w:rPr>
        <w:t>及《</w:t>
      </w:r>
      <w:r>
        <w:rPr>
          <w:rFonts w:eastAsia="仿宋_GB2312"/>
          <w:color w:val="auto"/>
          <w:kern w:val="0"/>
          <w:sz w:val="32"/>
          <w:szCs w:val="32"/>
        </w:rPr>
        <w:t>天津市生态环境局</w:t>
      </w:r>
      <w:r>
        <w:rPr>
          <w:rFonts w:hint="eastAsia" w:eastAsia="仿宋_GB2312"/>
          <w:color w:val="auto"/>
          <w:kern w:val="0"/>
          <w:sz w:val="32"/>
          <w:szCs w:val="32"/>
        </w:rPr>
        <w:t>送达回证》</w:t>
      </w:r>
      <w:r>
        <w:rPr>
          <w:rFonts w:eastAsia="仿宋_GB2312"/>
          <w:color w:val="auto"/>
          <w:kern w:val="0"/>
          <w:sz w:val="32"/>
          <w:szCs w:val="32"/>
        </w:rPr>
        <w:t>等证据为凭。</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hint="eastAsia" w:eastAsia="仿宋_GB2312"/>
          <w:color w:val="auto"/>
          <w:kern w:val="0"/>
          <w:sz w:val="32"/>
          <w:szCs w:val="32"/>
          <w:lang w:val="en-US" w:eastAsia="zh-CN"/>
        </w:rPr>
        <w:t>经集体审议，本案违法事实清楚、执法程序合法、法律适用准确、自由裁量结论合理。</w:t>
      </w:r>
      <w:r>
        <w:rPr>
          <w:rFonts w:eastAsia="仿宋_GB2312"/>
          <w:color w:val="auto"/>
          <w:kern w:val="0"/>
          <w:sz w:val="32"/>
          <w:szCs w:val="32"/>
        </w:rPr>
        <w:t xml:space="preserve">  </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tabs>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lang w:eastAsia="zh-CN"/>
        </w:rPr>
      </w:pPr>
      <w:r>
        <w:rPr>
          <w:rFonts w:eastAsia="仿宋_GB2312"/>
          <w:color w:val="auto"/>
          <w:kern w:val="0"/>
          <w:sz w:val="32"/>
          <w:szCs w:val="32"/>
        </w:rPr>
        <w:t>依据</w:t>
      </w:r>
      <w:r>
        <w:rPr>
          <w:rFonts w:hint="eastAsia" w:eastAsia="仿宋_GB2312"/>
          <w:color w:val="auto"/>
          <w:kern w:val="0"/>
          <w:sz w:val="32"/>
          <w:szCs w:val="32"/>
          <w:lang w:eastAsia="zh-CN"/>
        </w:rPr>
        <w:t>《天津市机动车和非道路移动机械排放污染物防治条例》第五十条</w:t>
      </w:r>
      <w:r>
        <w:rPr>
          <w:rFonts w:hint="eastAsia" w:eastAsia="仿宋_GB2312"/>
          <w:color w:val="auto"/>
          <w:kern w:val="0"/>
          <w:sz w:val="32"/>
          <w:szCs w:val="32"/>
        </w:rPr>
        <w:t>的</w:t>
      </w:r>
      <w:r>
        <w:rPr>
          <w:rFonts w:eastAsia="仿宋_GB2312"/>
          <w:color w:val="auto"/>
          <w:kern w:val="0"/>
          <w:sz w:val="32"/>
          <w:szCs w:val="32"/>
        </w:rPr>
        <w:t>规定</w:t>
      </w:r>
      <w:r>
        <w:rPr>
          <w:rFonts w:hint="eastAsia" w:eastAsia="仿宋_GB2312"/>
          <w:color w:val="auto"/>
          <w:kern w:val="0"/>
          <w:sz w:val="32"/>
          <w:szCs w:val="32"/>
          <w:lang w:eastAsia="zh-CN"/>
        </w:rPr>
        <w:t>，我局：</w:t>
      </w:r>
    </w:p>
    <w:p>
      <w:pPr>
        <w:tabs>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rPr>
      </w:pPr>
      <w:r>
        <w:rPr>
          <w:rFonts w:eastAsia="仿宋_GB2312"/>
          <w:color w:val="auto"/>
          <w:kern w:val="0"/>
          <w:sz w:val="32"/>
          <w:szCs w:val="32"/>
        </w:rPr>
        <w:t>1.</w:t>
      </w:r>
      <w:r>
        <w:rPr>
          <w:rFonts w:hint="eastAsia" w:eastAsia="仿宋_GB2312"/>
          <w:color w:val="auto"/>
          <w:kern w:val="0"/>
          <w:sz w:val="32"/>
          <w:szCs w:val="32"/>
        </w:rPr>
        <w:t>责令你单位</w:t>
      </w:r>
      <w:r>
        <w:rPr>
          <w:rFonts w:hint="eastAsia" w:eastAsia="仿宋_GB2312"/>
          <w:color w:val="auto"/>
          <w:sz w:val="32"/>
          <w:szCs w:val="32"/>
          <w:lang w:eastAsia="zh-CN"/>
        </w:rPr>
        <w:t>立即停止使用该非道路移动机械</w:t>
      </w:r>
      <w:r>
        <w:rPr>
          <w:rFonts w:hint="eastAsia" w:eastAsia="仿宋_GB2312"/>
          <w:color w:val="auto"/>
          <w:kern w:val="0"/>
          <w:sz w:val="32"/>
          <w:szCs w:val="32"/>
        </w:rPr>
        <w:t>；</w:t>
      </w:r>
    </w:p>
    <w:p>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hint="eastAsia" w:eastAsia="仿宋_GB2312"/>
          <w:color w:val="auto"/>
          <w:kern w:val="0"/>
          <w:sz w:val="32"/>
          <w:szCs w:val="32"/>
        </w:rPr>
        <w:t>2</w:t>
      </w:r>
      <w:r>
        <w:rPr>
          <w:rFonts w:eastAsia="仿宋_GB2312"/>
          <w:color w:val="auto"/>
          <w:kern w:val="0"/>
          <w:sz w:val="32"/>
          <w:szCs w:val="32"/>
        </w:rPr>
        <w:t>.</w:t>
      </w:r>
      <w:r>
        <w:rPr>
          <w:rFonts w:hint="eastAsia" w:eastAsia="仿宋_GB2312"/>
          <w:color w:val="auto"/>
          <w:kern w:val="0"/>
          <w:sz w:val="32"/>
          <w:szCs w:val="32"/>
          <w:lang w:eastAsia="zh-CN"/>
        </w:rPr>
        <w:t>对你单位</w:t>
      </w:r>
      <w:r>
        <w:rPr>
          <w:rFonts w:eastAsia="仿宋_GB2312"/>
          <w:color w:val="auto"/>
          <w:kern w:val="0"/>
          <w:sz w:val="32"/>
          <w:szCs w:val="32"/>
        </w:rPr>
        <w:t>处罚款</w:t>
      </w:r>
      <w:r>
        <w:rPr>
          <w:rFonts w:hint="eastAsia" w:eastAsia="仿宋_GB2312"/>
          <w:color w:val="auto"/>
          <w:kern w:val="0"/>
          <w:sz w:val="32"/>
          <w:szCs w:val="32"/>
          <w:lang w:eastAsia="zh-CN"/>
        </w:rPr>
        <w:t>五</w:t>
      </w:r>
      <w:r>
        <w:rPr>
          <w:rFonts w:eastAsia="仿宋_GB2312"/>
          <w:color w:val="auto"/>
          <w:kern w:val="0"/>
          <w:sz w:val="32"/>
          <w:szCs w:val="32"/>
        </w:rPr>
        <w:t>万元。</w:t>
      </w:r>
    </w:p>
    <w:p>
      <w:pPr>
        <w:tabs>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tabs>
          <w:tab w:val="left" w:pos="8940"/>
        </w:tabs>
        <w:autoSpaceDE w:val="0"/>
        <w:autoSpaceDN w:val="0"/>
        <w:adjustRightInd w:val="0"/>
        <w:snapToGrid w:val="0"/>
        <w:spacing w:line="360" w:lineRule="auto"/>
        <w:ind w:firstLine="640" w:firstLineChars="200"/>
        <w:jc w:val="left"/>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eastAsia="仿宋_GB2312"/>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立即</w:t>
      </w:r>
      <w:r>
        <w:rPr>
          <w:rFonts w:eastAsia="仿宋_GB2312"/>
          <w:color w:val="auto"/>
          <w:kern w:val="0"/>
          <w:sz w:val="32"/>
          <w:szCs w:val="32"/>
        </w:rPr>
        <w:t>改正违法行为。</w:t>
      </w:r>
      <w:r>
        <w:rPr>
          <w:rFonts w:hint="eastAsia" w:eastAsia="仿宋_GB2312"/>
          <w:color w:val="auto"/>
          <w:kern w:val="0"/>
          <w:sz w:val="32"/>
          <w:szCs w:val="32"/>
          <w:lang w:val="en-US" w:eastAsia="zh-CN"/>
        </w:rPr>
        <w:t>你单位应在禁止使用高排放非道路移动机械区域禁止使用高排放非道路移动机械。</w:t>
      </w:r>
    </w:p>
    <w:p>
      <w:pPr>
        <w:tabs>
          <w:tab w:val="left" w:pos="8940"/>
        </w:tabs>
        <w:autoSpaceDE w:val="0"/>
        <w:autoSpaceDN w:val="0"/>
        <w:adjustRightInd w:val="0"/>
        <w:snapToGrid w:val="0"/>
        <w:spacing w:line="360" w:lineRule="auto"/>
        <w:ind w:firstLine="640" w:firstLineChars="200"/>
        <w:jc w:val="left"/>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pPr>
        <w:tabs>
          <w:tab w:val="left" w:pos="8940"/>
        </w:tabs>
        <w:autoSpaceDE w:val="0"/>
        <w:autoSpaceDN w:val="0"/>
        <w:adjustRightInd w:val="0"/>
        <w:snapToGrid w:val="0"/>
        <w:spacing w:line="360" w:lineRule="auto"/>
        <w:ind w:firstLine="720" w:firstLineChars="225"/>
        <w:jc w:val="left"/>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w:t>
      </w:r>
      <w:r>
        <w:rPr>
          <w:rFonts w:hint="eastAsia" w:eastAsia="仿宋_GB2312"/>
          <w:color w:val="auto"/>
          <w:kern w:val="0"/>
          <w:sz w:val="32"/>
          <w:szCs w:val="32"/>
          <w:lang w:val="en-US" w:eastAsia="zh-CN"/>
        </w:rPr>
        <w:t>60</w:t>
      </w:r>
      <w:r>
        <w:rPr>
          <w:rFonts w:eastAsia="仿宋_GB2312"/>
          <w:color w:val="auto"/>
          <w:kern w:val="0"/>
          <w:sz w:val="32"/>
          <w:szCs w:val="32"/>
        </w:rPr>
        <w:t>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w:t>
      </w:r>
      <w:r>
        <w:rPr>
          <w:rFonts w:hint="eastAsia" w:eastAsia="仿宋_GB2312"/>
          <w:color w:val="auto"/>
          <w:kern w:val="0"/>
          <w:sz w:val="32"/>
          <w:szCs w:val="32"/>
          <w:lang w:val="en-US" w:eastAsia="zh-CN"/>
        </w:rPr>
        <w:t>6</w:t>
      </w:r>
      <w:r>
        <w:rPr>
          <w:rFonts w:eastAsia="仿宋_GB2312"/>
          <w:color w:val="auto"/>
          <w:kern w:val="0"/>
          <w:sz w:val="32"/>
          <w:szCs w:val="32"/>
        </w:rPr>
        <w:t>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tabs>
          <w:tab w:val="left" w:pos="8940"/>
        </w:tabs>
        <w:autoSpaceDE w:val="0"/>
        <w:autoSpaceDN w:val="0"/>
        <w:adjustRightInd w:val="0"/>
        <w:snapToGrid w:val="0"/>
        <w:spacing w:line="360" w:lineRule="auto"/>
        <w:ind w:firstLine="640" w:firstLineChars="200"/>
        <w:jc w:val="left"/>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五、信用中国网站信用修复</w:t>
      </w:r>
    </w:p>
    <w:p>
      <w:pPr>
        <w:tabs>
          <w:tab w:val="left" w:pos="8940"/>
        </w:tabs>
        <w:autoSpaceDE w:val="0"/>
        <w:autoSpaceDN w:val="0"/>
        <w:adjustRightInd w:val="0"/>
        <w:snapToGrid w:val="0"/>
        <w:spacing w:line="360" w:lineRule="auto"/>
        <w:ind w:firstLine="640" w:firstLineChars="200"/>
        <w:jc w:val="left"/>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行政处罚信用修复。</w:t>
      </w:r>
    </w:p>
    <w:p>
      <w:pPr>
        <w:tabs>
          <w:tab w:val="left" w:pos="5035"/>
          <w:tab w:val="left" w:pos="8460"/>
          <w:tab w:val="left" w:pos="9265"/>
        </w:tabs>
        <w:autoSpaceDE w:val="0"/>
        <w:autoSpaceDN w:val="0"/>
        <w:adjustRightInd w:val="0"/>
        <w:snapToGrid w:val="0"/>
        <w:spacing w:line="360" w:lineRule="auto"/>
        <w:ind w:right="-20"/>
        <w:jc w:val="left"/>
        <w:rPr>
          <w:rFonts w:eastAsia="仿宋_GB2312"/>
          <w:color w:val="auto"/>
          <w:kern w:val="0"/>
          <w:sz w:val="32"/>
          <w:szCs w:val="32"/>
        </w:rPr>
      </w:pPr>
    </w:p>
    <w:p>
      <w:pPr>
        <w:tabs>
          <w:tab w:val="left" w:pos="7070"/>
          <w:tab w:val="left" w:pos="7820"/>
        </w:tabs>
        <w:autoSpaceDE w:val="0"/>
        <w:autoSpaceDN w:val="0"/>
        <w:adjustRightInd w:val="0"/>
        <w:snapToGrid w:val="0"/>
        <w:spacing w:line="360" w:lineRule="auto"/>
        <w:ind w:right="122"/>
        <w:jc w:val="left"/>
        <w:rPr>
          <w:rFonts w:eastAsia="仿宋_GB2312"/>
          <w:color w:val="auto"/>
          <w:kern w:val="0"/>
          <w:sz w:val="32"/>
          <w:szCs w:val="32"/>
        </w:rPr>
      </w:pPr>
      <w:r>
        <w:rPr>
          <w:rFonts w:eastAsia="仿宋_GB2312"/>
          <w:color w:val="auto"/>
          <w:kern w:val="0"/>
          <w:sz w:val="32"/>
          <w:szCs w:val="32"/>
        </w:rPr>
        <w:t xml:space="preserve">                                  </w:t>
      </w:r>
    </w:p>
    <w:p>
      <w:pPr>
        <w:tabs>
          <w:tab w:val="left" w:pos="7070"/>
          <w:tab w:val="left" w:pos="7820"/>
        </w:tabs>
        <w:autoSpaceDE w:val="0"/>
        <w:autoSpaceDN w:val="0"/>
        <w:adjustRightInd w:val="0"/>
        <w:snapToGrid w:val="0"/>
        <w:spacing w:line="360" w:lineRule="auto"/>
        <w:ind w:right="122" w:firstLine="6240" w:firstLineChars="1950"/>
        <w:jc w:val="left"/>
        <w:rPr>
          <w:rFonts w:eastAsia="仿宋_GB2312"/>
          <w:color w:val="auto"/>
          <w:kern w:val="0"/>
          <w:sz w:val="32"/>
          <w:szCs w:val="32"/>
        </w:rPr>
      </w:pPr>
      <w:r>
        <w:rPr>
          <w:rFonts w:eastAsia="仿宋_GB2312"/>
          <w:color w:val="auto"/>
          <w:kern w:val="0"/>
          <w:sz w:val="32"/>
          <w:szCs w:val="32"/>
        </w:rPr>
        <w:t xml:space="preserve">                                   </w:t>
      </w:r>
    </w:p>
    <w:p>
      <w:pPr>
        <w:adjustRightInd w:val="0"/>
        <w:snapToGrid w:val="0"/>
        <w:spacing w:line="360" w:lineRule="auto"/>
        <w:jc w:val="center"/>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11</w:t>
      </w:r>
      <w:r>
        <w:rPr>
          <w:rFonts w:eastAsia="仿宋_GB2312"/>
          <w:color w:val="auto"/>
          <w:kern w:val="0"/>
          <w:sz w:val="32"/>
          <w:szCs w:val="32"/>
        </w:rPr>
        <w:t>月</w:t>
      </w:r>
      <w:bookmarkEnd w:id="4"/>
      <w:r>
        <w:rPr>
          <w:rFonts w:hint="eastAsia" w:eastAsia="仿宋_GB2312"/>
          <w:color w:val="auto"/>
          <w:kern w:val="0"/>
          <w:sz w:val="32"/>
          <w:szCs w:val="32"/>
          <w:lang w:val="en-US" w:eastAsia="zh-CN"/>
        </w:rPr>
        <w:t>7</w:t>
      </w:r>
      <w:r>
        <w:rPr>
          <w:rFonts w:eastAsia="仿宋_GB2312"/>
          <w:color w:val="auto"/>
          <w:kern w:val="0"/>
          <w:sz w:val="32"/>
          <w:szCs w:val="32"/>
        </w:rPr>
        <w:t>日</w:t>
      </w: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bookmarkStart w:id="5" w:name="_GoBack"/>
      <w:bookmarkEnd w:id="5"/>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5"/>
      <w:isLgl/>
      <w:lvlText w:val="%1.%2.%3"/>
      <w:lvlJc w:val="left"/>
      <w:pPr>
        <w:tabs>
          <w:tab w:val="left" w:pos="720"/>
        </w:tabs>
        <w:ind w:left="720" w:hanging="720"/>
      </w:pPr>
      <w:rPr>
        <w:rFonts w:hint="eastAsia"/>
      </w:rPr>
    </w:lvl>
    <w:lvl w:ilvl="3" w:tentative="0">
      <w:start w:val="1"/>
      <w:numFmt w:val="decimal"/>
      <w:pStyle w:val="6"/>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MzJmNjhiNmQ3NzBlZjlkYjliZmEyZTc3YWI4YjAifQ=="/>
  </w:docVars>
  <w:rsids>
    <w:rsidRoot w:val="12BE51CE"/>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7446"/>
    <w:rsid w:val="00180054"/>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93512"/>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16FF4"/>
    <w:rsid w:val="00B51CAA"/>
    <w:rsid w:val="00B56F69"/>
    <w:rsid w:val="00B571CE"/>
    <w:rsid w:val="00B65A78"/>
    <w:rsid w:val="00B77FEE"/>
    <w:rsid w:val="00BA1433"/>
    <w:rsid w:val="00BB3134"/>
    <w:rsid w:val="00BC39CE"/>
    <w:rsid w:val="00BE12F0"/>
    <w:rsid w:val="00BE4261"/>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D1742E5"/>
    <w:rsid w:val="12BE51CE"/>
    <w:rsid w:val="1E353F45"/>
    <w:rsid w:val="23A72B7A"/>
    <w:rsid w:val="2B453C7F"/>
    <w:rsid w:val="2D426A6D"/>
    <w:rsid w:val="33DF60A4"/>
    <w:rsid w:val="3B2434F5"/>
    <w:rsid w:val="3F841B92"/>
    <w:rsid w:val="40FF52B5"/>
    <w:rsid w:val="43841772"/>
    <w:rsid w:val="473367BF"/>
    <w:rsid w:val="47485BF3"/>
    <w:rsid w:val="48475D0A"/>
    <w:rsid w:val="4AD22D47"/>
    <w:rsid w:val="4CBF7DE3"/>
    <w:rsid w:val="4E44018F"/>
    <w:rsid w:val="51935037"/>
    <w:rsid w:val="53B96C98"/>
    <w:rsid w:val="5B784E50"/>
    <w:rsid w:val="5B7E19C2"/>
    <w:rsid w:val="5BC40E35"/>
    <w:rsid w:val="5DC07A16"/>
    <w:rsid w:val="5F91207B"/>
    <w:rsid w:val="6C3118E9"/>
    <w:rsid w:val="6D9C4786"/>
    <w:rsid w:val="70291EB6"/>
    <w:rsid w:val="72DC74D0"/>
    <w:rsid w:val="786618CC"/>
    <w:rsid w:val="7D345E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4">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5">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6">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cs="宋体"/>
      <w:kern w:val="0"/>
      <w:sz w:val="33"/>
      <w:szCs w:val="33"/>
      <w:lang w:val="zh-CN" w:bidi="zh-CN"/>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700;&#38754;\&#25191;&#27861;&#24635;&#38431;&#34892;&#25919;&#22788;&#32602;&#25991;&#20070;&#27169;&#29256;2023.7&#26356;&#26032;\&#34892;&#25919;&#22788;&#32602;&#20915;&#23450;&#20070;&#65288;&#26410;&#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行政处罚决定书（未申辩）.dot</Template>
  <Pages>4</Pages>
  <Words>1085</Words>
  <Characters>1157</Characters>
  <Lines>8</Lines>
  <Paragraphs>2</Paragraphs>
  <TotalTime>3</TotalTime>
  <ScaleCrop>false</ScaleCrop>
  <LinksUpToDate>false</LinksUpToDate>
  <CharactersWithSpaces>1299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2023-10-27T02:34:00Z</dcterms:created>
  <dc:creator>何敏</dc:creator>
  <cp:lastModifiedBy>何敏</cp:lastModifiedBy>
  <cp:lastPrinted>2023-11-08T01:01:00Z</cp:lastPrinted>
  <dcterms:modified xsi:type="dcterms:W3CDTF">2023-11-10T07:29:41Z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0F9F14D64F8E4168A977D72F2610880D_13</vt:lpwstr>
  </property>
</Properties>
</file>