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both"/>
        <w:textAlignment w:val="auto"/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</w:pPr>
    </w:p>
    <w:p>
      <w:pPr>
        <w:tabs>
          <w:tab w:val="left" w:pos="4600"/>
        </w:tabs>
        <w:autoSpaceDE w:val="0"/>
        <w:autoSpaceDN w:val="0"/>
        <w:adjustRightInd w:val="0"/>
        <w:snapToGrid w:val="0"/>
        <w:spacing w:line="360" w:lineRule="auto"/>
        <w:ind w:right="-119"/>
        <w:jc w:val="center"/>
        <w:rPr>
          <w:rFonts w:eastAsia="仿宋_GB2312"/>
          <w:color w:val="auto"/>
          <w:kern w:val="0"/>
          <w:position w:val="-2"/>
          <w:sz w:val="32"/>
          <w:szCs w:val="32"/>
        </w:rPr>
      </w:pPr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津市</w:t>
      </w:r>
      <w:bookmarkEnd w:id="1"/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环罚字</w:t>
      </w:r>
      <w:bookmarkStart w:id="2" w:name="PO_7_NianDuBianHao"/>
      <w:r>
        <w:rPr>
          <w:rFonts w:eastAsia="仿宋_GB2312"/>
          <w:color w:val="auto"/>
          <w:kern w:val="0"/>
          <w:position w:val="-2"/>
          <w:sz w:val="32"/>
          <w:szCs w:val="32"/>
        </w:rPr>
        <w:t>〔20</w:t>
      </w:r>
      <w:bookmarkEnd w:id="2"/>
      <w:r>
        <w:rPr>
          <w:rFonts w:hint="eastAsia" w:eastAsia="仿宋_GB2312"/>
          <w:color w:val="auto"/>
          <w:kern w:val="0"/>
          <w:position w:val="-2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position w:val="-2"/>
          <w:sz w:val="32"/>
          <w:szCs w:val="32"/>
          <w:lang w:val="en-US" w:eastAsia="zh-CN"/>
        </w:rPr>
        <w:t>215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号</w:t>
      </w:r>
    </w:p>
    <w:p>
      <w:pPr>
        <w:tabs>
          <w:tab w:val="left" w:pos="4600"/>
        </w:tabs>
        <w:autoSpaceDE w:val="0"/>
        <w:autoSpaceDN w:val="0"/>
        <w:adjustRightInd w:val="0"/>
        <w:snapToGrid w:val="0"/>
        <w:spacing w:line="360" w:lineRule="auto"/>
        <w:ind w:right="-119"/>
        <w:jc w:val="center"/>
        <w:rPr>
          <w:rFonts w:eastAsia="仿宋_GB2312"/>
          <w:color w:val="auto"/>
          <w:kern w:val="0"/>
          <w:position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天津中石时化汽车检测有限公司</w:t>
      </w:r>
      <w:r>
        <w:rPr>
          <w:rFonts w:eastAsia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91120116663087557Q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地址：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天津市滨海新区大港街板厂路101号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法定代表</w:t>
      </w:r>
      <w:r>
        <w:rPr>
          <w:rFonts w:eastAsia="仿宋_GB2312"/>
          <w:color w:val="auto"/>
          <w:kern w:val="0"/>
          <w:sz w:val="32"/>
          <w:szCs w:val="32"/>
        </w:rPr>
        <w:t>人：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赵秋立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我局于2023年9月7日对你单位进行了调查，发现你单位实施了以下环境违法行为：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你单位于2022年10月21日采用加载减速法对车牌号为津KTG700的解放牌柴油车（车辆识别代码LFNA4LB51DHA11207）进行了检验，并出具结果为“通过”的《在用车排放检验报告》（报告编号：120116062210210920230271）；于2023年1月13日采用加载减速法对车牌号为津RE1296的福田牌柴油车（车辆识别代码LVBV3JBB0EW008334）进行了检验，并出具结果为“通过”的《在用车排放检验报告》（报告编号：120116062301131143220269）；于2023年4月27日采用加载减速法对车牌号为津B95G22的东风牌柴油车（车辆识别代码LGDXH81D4BA172102）进行了检验，并出具结果为“通过”的《在用车排放检验报告》（报告编号：120116062304271242000249）；于2023年8月4日采用加载减速法对车牌号为冀TV7T00的江铃牌柴油车（车辆识别代码LEFADCD13DHP27705）进行了检验，并出具结果为“通过”的《在用车排放检验报告》（报告编号：120116062308040848340250）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执法人员调取上述4辆柴油车的检验视频显示，在排放检验的过程中上述4辆柴油车排放有明显可见黑烟。依据《柴油车污染物排放限值及测量方法（自由加速法及加载减速法）》（GB3847-2018）8.2.2“车辆排放有明显可见烟度或烟度值超过林格曼1级，则判定排放检验不合格”的规定，上述4辆柴油车检验结果应判定“不合格”，但你单位仍出具结果为“通过”的《在用车排放检验报告》。你单位对上述4辆柴油车排放检验收费四百元，应认定为违法所得。你单位上述行为属于出具虚假排放检验报告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以上事实，有</w:t>
      </w:r>
      <w:bookmarkStart w:id="3" w:name="PO_4_ShiShiZhengJu"/>
      <w:r>
        <w:rPr>
          <w:rFonts w:hint="eastAsia" w:eastAsia="仿宋_GB2312"/>
          <w:color w:val="auto"/>
          <w:sz w:val="32"/>
          <w:szCs w:val="32"/>
          <w:lang w:val="en-US" w:eastAsia="zh-CN"/>
        </w:rPr>
        <w:t>《天津市生态环境局现场检查（勘察）笔录》《天津市生态环境局调查询问笔录》、你单位出具的4份《在用车排放检验报告》（报告编号分别为：120116062210210920230271、120116062301131143220269、120116062304271242000249、120116062308040848340250）、调取你单位车辆检验视频、《柴油车污染物排放限值及测量方法（自由加速法及加载减速法）》（GB3847-2018）、你单位出具的上述车辆检验收费证明、现场拍摄的视频以及营业执照复印件</w:t>
      </w:r>
      <w:bookmarkEnd w:id="3"/>
      <w:r>
        <w:rPr>
          <w:rFonts w:hint="eastAsia" w:eastAsia="仿宋_GB2312"/>
          <w:color w:val="auto"/>
          <w:sz w:val="32"/>
          <w:szCs w:val="32"/>
          <w:lang w:val="en-US" w:eastAsia="zh-CN"/>
        </w:rPr>
        <w:t>等证据为凭。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你单位上述行为违反了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《中华人民共和国大气污染防治法》第五十四条第一款的规定</w:t>
      </w:r>
      <w:r>
        <w:rPr>
          <w:rFonts w:eastAsia="仿宋_GB2312"/>
          <w:color w:val="auto"/>
          <w:kern w:val="0"/>
          <w:sz w:val="32"/>
          <w:szCs w:val="32"/>
        </w:rPr>
        <w:t>，依法应当予以处罚。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我局于20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eastAsia="仿宋_GB2312"/>
          <w:color w:val="auto"/>
          <w:kern w:val="0"/>
          <w:sz w:val="32"/>
          <w:szCs w:val="32"/>
        </w:rPr>
        <w:t>日以《天津市生态环境局行政处罚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告字〔20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156</w:t>
      </w:r>
      <w:r>
        <w:rPr>
          <w:rFonts w:eastAsia="仿宋_GB2312"/>
          <w:color w:val="auto"/>
          <w:kern w:val="0"/>
          <w:sz w:val="32"/>
          <w:szCs w:val="32"/>
        </w:rPr>
        <w:t>号），告知你单位违法事实、处罚依据和拟作出的处罚决定，并明确告知你单位有权进行陈述、申辩。</w:t>
      </w:r>
      <w:r>
        <w:rPr>
          <w:rFonts w:hint="eastAsia" w:eastAsia="仿宋_GB2312"/>
          <w:color w:val="auto"/>
          <w:kern w:val="0"/>
          <w:sz w:val="32"/>
          <w:szCs w:val="32"/>
        </w:rPr>
        <w:t>我局于20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直接</w:t>
      </w:r>
      <w:r>
        <w:rPr>
          <w:rFonts w:hint="eastAsia" w:eastAsia="仿宋_GB2312"/>
          <w:color w:val="auto"/>
          <w:kern w:val="0"/>
          <w:sz w:val="32"/>
          <w:szCs w:val="32"/>
        </w:rPr>
        <w:t>送达上述文件，你单位于当日签收。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2023年10月11日</w:t>
      </w:r>
      <w:r>
        <w:rPr>
          <w:rFonts w:hint="eastAsia" w:eastAsia="仿宋_GB2312"/>
          <w:color w:val="auto"/>
          <w:kern w:val="0"/>
          <w:sz w:val="32"/>
          <w:szCs w:val="32"/>
        </w:rPr>
        <w:t>你单位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向</w:t>
      </w:r>
      <w:r>
        <w:rPr>
          <w:rFonts w:hint="eastAsia" w:eastAsia="仿宋_GB2312"/>
          <w:color w:val="auto"/>
          <w:kern w:val="0"/>
          <w:sz w:val="32"/>
          <w:szCs w:val="32"/>
        </w:rPr>
        <w:t>我局提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出</w:t>
      </w:r>
      <w:r>
        <w:rPr>
          <w:rFonts w:hint="eastAsia" w:eastAsia="仿宋_GB2312"/>
          <w:color w:val="auto"/>
          <w:kern w:val="0"/>
          <w:sz w:val="32"/>
          <w:szCs w:val="32"/>
        </w:rPr>
        <w:t>陈述申辩意见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，主要内容</w:t>
      </w:r>
      <w:r>
        <w:rPr>
          <w:rFonts w:hint="eastAsia" w:eastAsia="仿宋_GB2312"/>
          <w:color w:val="auto"/>
          <w:kern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在对4辆车进行检验时，出现车辆在加速过程中黑烟一闪即过的情况，由于检验人员在现场观测疏忽，没有观测到黑烟出现，经过调查，我们发现我单位对检测标准的理解存在误差。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.针对这一问题，我单位已经采取了以下措施:①已经联系相关车辆进行召回，主动消除影响，并积极进行整改，对于召回车辆，我们将严格按照要求重新进行检验；②对相关检测人员进行了处罚，并决定对排放检测岗位的所有检测人员提高国家标准培训频率，认真学习并掌握《柴油车污染物排放限值及测量方法(自由加速法及加载减速法)》；③制定了有针对性的自查措施，强化对检测车辆尾气排放情况的实时全过程监控，坚决杜绝此类事情再次发生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3.近年来，由于车辆检测频次降低、疫情等因素影响企业经营困难，我们一直处于赔钱状态。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4.鉴于我单位首次出现该问题并已积极整改，恳请考虑减轻或免于处罚，我们将以此为鉴，严格遵守国家标准，加强内部管理，确保类似问题不再发生。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告字〔20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156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其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你单位于2023年10月11日提出的陈述申辩材料等证据为凭。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经集体审议研究，你单位提出的陈述申辩意见不影响对本案违法事实的认定，考虑到你单位积极整改，主动减轻危害后果，依据《中华人民共和国行政处罚法》第三十二条第（一）项的规定，决定对你单位从轻处罚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责令改正和行政处罚的依据、种类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依据《中华人民共和国大气污染防治法》第一百一十二条第一款的规定，我局: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1.责令你单位限期30日内改正违法行为；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2.对你单位没收违法所得四百元；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3.对你单位处罚款十六万元。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三、处罚决定的履行方式和期限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hint="eastAsia"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eastAsia" w:eastAsia="仿宋_GB2312"/>
          <w:color w:val="auto"/>
          <w:kern w:val="0"/>
          <w:sz w:val="32"/>
          <w:szCs w:val="32"/>
        </w:rPr>
        <w:t>领取《非税收入统一缴款书（缴款通知书）》并缴至指定银行。你单位逾期不缴纳罚款的，我局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hint="eastAsia" w:eastAsia="仿宋_GB2312"/>
          <w:color w:val="auto"/>
          <w:kern w:val="0"/>
          <w:sz w:val="32"/>
          <w:szCs w:val="32"/>
        </w:rPr>
        <w:t>依法每日按罚款数额的3%加处罚款</w:t>
      </w:r>
      <w:r>
        <w:rPr>
          <w:rFonts w:eastAsia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四、申请行政复议或者提起行政诉讼的途径和期限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如对本处罚决定不服，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</w:t>
      </w:r>
      <w:r>
        <w:rPr>
          <w:rFonts w:eastAsia="仿宋_GB2312"/>
          <w:color w:val="auto"/>
          <w:kern w:val="0"/>
          <w:sz w:val="32"/>
          <w:szCs w:val="32"/>
        </w:rPr>
        <w:t>可在收到本处罚决定书之日起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60</w:t>
      </w:r>
      <w:r>
        <w:rPr>
          <w:rFonts w:eastAsia="仿宋_GB2312"/>
          <w:color w:val="auto"/>
          <w:kern w:val="0"/>
          <w:sz w:val="32"/>
          <w:szCs w:val="32"/>
        </w:rPr>
        <w:t>日内向中华人民共和国生态环境部或者天津市人民政府申请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行政</w:t>
      </w:r>
      <w:r>
        <w:rPr>
          <w:rFonts w:eastAsia="仿宋_GB2312"/>
          <w:color w:val="auto"/>
          <w:kern w:val="0"/>
          <w:sz w:val="32"/>
          <w:szCs w:val="32"/>
        </w:rPr>
        <w:t>复议，也可在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kern w:val="0"/>
          <w:sz w:val="32"/>
          <w:szCs w:val="32"/>
        </w:rPr>
        <w:t>个月内直接向天津铁路运输法院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提起行政</w:t>
      </w:r>
      <w:r>
        <w:rPr>
          <w:rFonts w:eastAsia="仿宋_GB2312"/>
          <w:color w:val="auto"/>
          <w:kern w:val="0"/>
          <w:sz w:val="32"/>
          <w:szCs w:val="32"/>
        </w:rPr>
        <w:t>起诉。申请行政复议或者提起行政诉讼，不停止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eastAsia="仿宋_GB2312"/>
          <w:color w:val="auto"/>
          <w:kern w:val="0"/>
          <w:sz w:val="32"/>
          <w:szCs w:val="32"/>
        </w:rPr>
        <w:t>行政处罚决定的执行。逾期不申请行政复议，不提起行政诉讼，又不履行本处罚决定的，我局将依法申请人民法院强制执行。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五、信用中国网站信用修复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你单位自觉履行本行政处罚决定内容满3个月，且经我局复查认定你单位完成上述违法行为整改工作后，你单位可注册、登录“信用中国（天津）”网站（https://credit.fzgg.tj.gov.cn/）企业信息查询页面自助办理行政处罚信用修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tabs>
          <w:tab w:val="left" w:pos="1185"/>
        </w:tabs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eastAsia="宋体"/>
          <w:color w:val="auto"/>
          <w:lang w:eastAsia="zh-CN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960" w:rightChars="400" w:firstLine="5120" w:firstLineChars="1600"/>
        <w:jc w:val="both"/>
        <w:textAlignment w:val="auto"/>
        <w:rPr>
          <w:rFonts w:eastAsia="仿宋_GB2312"/>
          <w:color w:val="auto"/>
          <w:kern w:val="0"/>
          <w:sz w:val="28"/>
          <w:szCs w:val="28"/>
        </w:rPr>
      </w:pPr>
      <w:bookmarkStart w:id="4" w:name="PO_7_QianFaShiJian"/>
      <w:r>
        <w:rPr>
          <w:rFonts w:eastAsia="仿宋_GB2312"/>
          <w:color w:val="auto"/>
          <w:kern w:val="0"/>
          <w:sz w:val="32"/>
          <w:szCs w:val="32"/>
        </w:rPr>
        <w:t>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  <w:r>
        <w:rPr>
          <w:rFonts w:eastAsia="仿宋_GB2312"/>
          <w:color w:val="auto"/>
          <w:kern w:val="0"/>
          <w:sz w:val="28"/>
          <w:szCs w:val="28"/>
        </w:rPr>
        <w:t>注：此文书一式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eastAsia="仿宋_GB2312"/>
          <w:color w:val="auto"/>
          <w:kern w:val="0"/>
          <w:sz w:val="28"/>
          <w:szCs w:val="28"/>
        </w:rPr>
        <w:t>份，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eastAsia="仿宋_GB2312"/>
          <w:color w:val="auto"/>
          <w:kern w:val="0"/>
          <w:sz w:val="28"/>
          <w:szCs w:val="28"/>
        </w:rPr>
        <w:t>份归档，一份送达。</w:t>
      </w:r>
    </w:p>
    <w:sectPr>
      <w:headerReference r:id="rId3" w:type="default"/>
      <w:footerReference r:id="rId5" w:type="default"/>
      <w:headerReference r:id="rId4" w:type="even"/>
      <w:pgSz w:w="11907" w:h="16840" w:orient="landscape"/>
      <w:pgMar w:top="2041" w:right="1417" w:bottom="1928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GY3YWJhNWE4NTE5YzZjNTNlNGUxM2ZjZjEwOGYifQ=="/>
  </w:docVars>
  <w:rsids>
    <w:rsidRoot w:val="78B6471C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2183"/>
    <w:rsid w:val="00157F83"/>
    <w:rsid w:val="00173A1F"/>
    <w:rsid w:val="00177446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92BE0"/>
    <w:rsid w:val="002D34A1"/>
    <w:rsid w:val="002E443D"/>
    <w:rsid w:val="003057A3"/>
    <w:rsid w:val="0033687D"/>
    <w:rsid w:val="00343837"/>
    <w:rsid w:val="00353614"/>
    <w:rsid w:val="003658E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32C4D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45722"/>
    <w:rsid w:val="00850EF1"/>
    <w:rsid w:val="008778D2"/>
    <w:rsid w:val="008874CB"/>
    <w:rsid w:val="00895089"/>
    <w:rsid w:val="008A66F0"/>
    <w:rsid w:val="008B4839"/>
    <w:rsid w:val="008B6497"/>
    <w:rsid w:val="008E0B8C"/>
    <w:rsid w:val="008F1113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02D8"/>
    <w:rsid w:val="00A85133"/>
    <w:rsid w:val="00A8786C"/>
    <w:rsid w:val="00AC5186"/>
    <w:rsid w:val="00AD0BD6"/>
    <w:rsid w:val="00AF21E9"/>
    <w:rsid w:val="00AF2C63"/>
    <w:rsid w:val="00B1113A"/>
    <w:rsid w:val="00B13545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D056EC"/>
    <w:rsid w:val="00D063E3"/>
    <w:rsid w:val="00D1024B"/>
    <w:rsid w:val="00D13861"/>
    <w:rsid w:val="00D15117"/>
    <w:rsid w:val="00D21D1B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DF22E2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4564EA5"/>
    <w:rsid w:val="047D7869"/>
    <w:rsid w:val="04CF2504"/>
    <w:rsid w:val="051376DF"/>
    <w:rsid w:val="075524D7"/>
    <w:rsid w:val="07B93B0C"/>
    <w:rsid w:val="08A676E1"/>
    <w:rsid w:val="09114283"/>
    <w:rsid w:val="0A44520B"/>
    <w:rsid w:val="0BEA4C5E"/>
    <w:rsid w:val="0CAF362A"/>
    <w:rsid w:val="0CC90616"/>
    <w:rsid w:val="14A22454"/>
    <w:rsid w:val="173B33C8"/>
    <w:rsid w:val="1A3F25F1"/>
    <w:rsid w:val="1B552996"/>
    <w:rsid w:val="1BB8168D"/>
    <w:rsid w:val="1BC26D67"/>
    <w:rsid w:val="1CC54CEB"/>
    <w:rsid w:val="1DDB05F5"/>
    <w:rsid w:val="1F6A3919"/>
    <w:rsid w:val="22AA1244"/>
    <w:rsid w:val="234D2931"/>
    <w:rsid w:val="2378242F"/>
    <w:rsid w:val="25735D76"/>
    <w:rsid w:val="26162D5B"/>
    <w:rsid w:val="27FC4468"/>
    <w:rsid w:val="2ABE5B1A"/>
    <w:rsid w:val="2CBF39D4"/>
    <w:rsid w:val="2E2D1CD7"/>
    <w:rsid w:val="2E7E4B4C"/>
    <w:rsid w:val="2F096FCE"/>
    <w:rsid w:val="30B45EB5"/>
    <w:rsid w:val="312C04D9"/>
    <w:rsid w:val="3B6B20BB"/>
    <w:rsid w:val="3BA70B39"/>
    <w:rsid w:val="3BE02B11"/>
    <w:rsid w:val="3C7636AF"/>
    <w:rsid w:val="3E516742"/>
    <w:rsid w:val="42BA1DF9"/>
    <w:rsid w:val="44236D5F"/>
    <w:rsid w:val="442F10A5"/>
    <w:rsid w:val="45DA766F"/>
    <w:rsid w:val="46843426"/>
    <w:rsid w:val="473A0DD5"/>
    <w:rsid w:val="47C66189"/>
    <w:rsid w:val="49984B44"/>
    <w:rsid w:val="4A263D9A"/>
    <w:rsid w:val="4CA7559F"/>
    <w:rsid w:val="4D6435C2"/>
    <w:rsid w:val="4DF56AA7"/>
    <w:rsid w:val="50F22B11"/>
    <w:rsid w:val="51714379"/>
    <w:rsid w:val="51935037"/>
    <w:rsid w:val="521C5B03"/>
    <w:rsid w:val="53767495"/>
    <w:rsid w:val="5794182D"/>
    <w:rsid w:val="586D4E7F"/>
    <w:rsid w:val="5A4853C7"/>
    <w:rsid w:val="5AC26DE0"/>
    <w:rsid w:val="5B5C731D"/>
    <w:rsid w:val="5C9F4A39"/>
    <w:rsid w:val="5D8D0D34"/>
    <w:rsid w:val="5DD022F3"/>
    <w:rsid w:val="5EC8235B"/>
    <w:rsid w:val="5ECD3BB6"/>
    <w:rsid w:val="607F519B"/>
    <w:rsid w:val="61787F41"/>
    <w:rsid w:val="61FB1660"/>
    <w:rsid w:val="63EC73E1"/>
    <w:rsid w:val="65465834"/>
    <w:rsid w:val="6AEC59B8"/>
    <w:rsid w:val="6B1F7E37"/>
    <w:rsid w:val="6C1C590D"/>
    <w:rsid w:val="6EBB3C25"/>
    <w:rsid w:val="7029000B"/>
    <w:rsid w:val="704C4CC4"/>
    <w:rsid w:val="70AC3779"/>
    <w:rsid w:val="71F76391"/>
    <w:rsid w:val="73ED0275"/>
    <w:rsid w:val="743631A3"/>
    <w:rsid w:val="759748AE"/>
    <w:rsid w:val="76716923"/>
    <w:rsid w:val="76A05966"/>
    <w:rsid w:val="7776441B"/>
    <w:rsid w:val="78B6471C"/>
    <w:rsid w:val="78D17E30"/>
    <w:rsid w:val="7E4C5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5">
    <w:name w:val="封皮"/>
    <w:basedOn w:val="1"/>
    <w:qFormat/>
    <w:uiPriority w:val="0"/>
    <w:pPr>
      <w:jc w:val="center"/>
    </w:pPr>
    <w:rPr>
      <w:rFonts w:eastAsia="黑体"/>
      <w:b/>
      <w:sz w:val="72"/>
    </w:rPr>
  </w:style>
  <w:style w:type="paragraph" w:customStyle="1" w:styleId="16">
    <w:name w:val="正文1"/>
    <w:next w:val="1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4"/>
      <w:szCs w:val="24"/>
      <w:lang w:val="en-US" w:eastAsia="zh-CN" w:bidi="ar-SA"/>
    </w:rPr>
  </w:style>
  <w:style w:type="paragraph" w:customStyle="1" w:styleId="17">
    <w:name w:val="正文文本1"/>
    <w:basedOn w:val="16"/>
    <w:unhideWhenUsed/>
    <w:qFormat/>
    <w:uiPriority w:val="0"/>
    <w:pPr>
      <w:spacing w:beforeLines="0"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037;&#20316;&#25991;&#20214;&#22841;\&#24120;&#29992;&#25991;&#20070;&#27169;&#26495;\&#25191;&#27861;&#24635;&#38431;&#34892;&#25919;&#22788;&#32602;&#25991;&#20070;&#27169;&#26495;2022.4&#26356;&#26032;\&#34892;&#25919;&#22788;&#32602;&#20915;&#23450;&#20070;&#65288;&#26410;&#21548;&#35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行政处罚决定书（未听证）.dot</Template>
  <Pages>4</Pages>
  <Words>1619</Words>
  <Characters>1723</Characters>
  <Lines>8</Lines>
  <Paragraphs>2</Paragraphs>
  <TotalTime>2</TotalTime>
  <ScaleCrop>false</ScaleCrop>
  <LinksUpToDate>false</LinksUpToDate>
  <CharactersWithSpaces>1747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唐大果果</dc:creator>
  <cp:lastModifiedBy>孙国力</cp:lastModifiedBy>
  <cp:lastPrinted>2023-08-17T00:31:00Z</cp:lastPrinted>
  <dcterms:modified xsi:type="dcterms:W3CDTF">2023-11-09T01:11:04Z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730E82EB171946218D567F6F085AA7F6</vt:lpwstr>
  </property>
</Properties>
</file>