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209</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default" w:eastAsia="仿宋_GB2312"/>
          <w:color w:val="auto"/>
          <w:kern w:val="0"/>
          <w:sz w:val="32"/>
          <w:szCs w:val="32"/>
          <w:lang w:val="en-US" w:eastAsia="zh-CN"/>
        </w:rPr>
        <w:t>天津滨海世纪医院有限公司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 xml:space="preserve"> 91120116MA7ENWHW52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天津市滨海新区大港街道阳春里底商1-1</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default" w:eastAsia="仿宋_GB2312"/>
          <w:color w:val="auto"/>
          <w:kern w:val="0"/>
          <w:sz w:val="32"/>
          <w:szCs w:val="32"/>
          <w:lang w:val="en-US" w:eastAsia="zh-CN"/>
        </w:rPr>
        <w:t>房景松</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我局于</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w:t>
      </w:r>
      <w:r>
        <w:rPr>
          <w:rFonts w:eastAsia="仿宋_GB2312"/>
          <w:color w:val="auto"/>
          <w:kern w:val="0"/>
          <w:sz w:val="32"/>
          <w:szCs w:val="32"/>
        </w:rPr>
        <w:t>日对你单位进行了调查，</w:t>
      </w:r>
      <w:r>
        <w:rPr>
          <w:rFonts w:hint="eastAsia" w:eastAsia="仿宋_GB2312"/>
          <w:color w:val="auto"/>
          <w:kern w:val="0"/>
          <w:sz w:val="32"/>
          <w:szCs w:val="32"/>
          <w:lang w:val="en-US" w:eastAsia="zh-CN"/>
        </w:rPr>
        <w:t>你单位于2022年6月购买了1台数字化医用X射线摄影系统（DR），型号为PLX8500C；1台X射线计算机体层摄影设备（CT），型号uCT503e</w:t>
      </w:r>
      <w:r>
        <w:rPr>
          <w:rFonts w:hint="eastAsia" w:eastAsia="仿宋_GB2312"/>
          <w:color w:val="auto"/>
          <w:kern w:val="0"/>
          <w:sz w:val="32"/>
          <w:szCs w:val="32"/>
          <w:lang w:eastAsia="zh-CN"/>
        </w:rPr>
        <w:t>。上述</w:t>
      </w:r>
      <w:r>
        <w:rPr>
          <w:rFonts w:hint="eastAsia" w:eastAsia="仿宋_GB2312"/>
          <w:color w:val="auto"/>
          <w:kern w:val="0"/>
          <w:sz w:val="32"/>
          <w:szCs w:val="32"/>
          <w:lang w:val="en-US" w:eastAsia="zh-CN"/>
        </w:rPr>
        <w:t>2台设备属于Ⅲ类射线装置。</w:t>
      </w:r>
      <w:r>
        <w:rPr>
          <w:rFonts w:hint="eastAsia" w:eastAsia="仿宋_GB2312"/>
          <w:color w:val="auto"/>
          <w:kern w:val="0"/>
          <w:sz w:val="32"/>
          <w:szCs w:val="32"/>
          <w:lang w:eastAsia="zh-CN"/>
        </w:rPr>
        <w:t>经调查，</w:t>
      </w:r>
      <w:r>
        <w:rPr>
          <w:rFonts w:eastAsia="仿宋_GB2312"/>
          <w:color w:val="auto"/>
          <w:kern w:val="0"/>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自2022年12月1日起，你单位开始使用上述2台射线装置，使用上述2台射线装置实际获得款项为八万七千七百六十元二角。2023年8月2日，我局对你单位现场检查时，你单位尚未办理辐射安全许可证。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你单位提供的《情况说明》及相关材料、</w:t>
      </w:r>
      <w:r>
        <w:rPr>
          <w:rFonts w:hint="eastAsia" w:eastAsia="仿宋_GB2312"/>
          <w:color w:val="auto"/>
          <w:kern w:val="0"/>
          <w:sz w:val="32"/>
          <w:szCs w:val="32"/>
          <w:lang w:val="en-US" w:eastAsia="zh-CN"/>
        </w:rPr>
        <w:t>《射线装置分类办法》、</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《放射性同位素与射线装置安全和防护条例》第十五条第一款</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140</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19</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numPr>
          <w:ilvl w:val="0"/>
          <w:numId w:val="3"/>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积极配合整改有关情况。一是深刻反思整改，强化法律学习；二是坚持立整立改，迅速完成整改；三是做到举一反三，杜绝问题反复。</w:t>
      </w:r>
    </w:p>
    <w:p>
      <w:pPr>
        <w:keepNext w:val="0"/>
        <w:keepLines w:val="0"/>
        <w:pageBreakBefore w:val="0"/>
        <w:widowControl w:val="0"/>
        <w:numPr>
          <w:ilvl w:val="0"/>
          <w:numId w:val="3"/>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医院经营背景和经营现状陈述。一是疫情期间落实政府号召，积极配合打好疫情阻击战；二是作为区域重点招商引资项目，为解决就业和稳定经济大盘起到一定作用。三是面对前期的大量投入和承担的社会责任，目前院区经营压力巨大。</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 xml:space="preserve">    鉴于目前实际状况，恳请市生态环境局考虑营商环境和我院系首次违规且认错态度较好，积极主动配合整改的情况下，酌情考虑我院的有关处置，能够免于处罚或者酌情从轻处罚。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140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ascii="Times New Roman" w:hAnsi="Times New Roman" w:eastAsia="仿宋_GB2312" w:cs="Times New Roman"/>
          <w:color w:val="auto"/>
          <w:kern w:val="0"/>
          <w:sz w:val="32"/>
          <w:szCs w:val="32"/>
          <w:lang w:val="en-US" w:eastAsia="zh-CN"/>
        </w:rPr>
        <w:t>你单位的陈述申辩意见不影响违法事实的成立，但考虑你单位及时改正违法行为，目前经营困难，根据《中华人民共和国行政处罚法》第三十二条第一项及《天津市人民政府关于进一步规范涉企行政执法检查最大程度减少对企业正常经营干扰的通知》精神，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《放射性同位素与射线装置安全和防护条例》第五十二条第一项</w:t>
      </w:r>
      <w:r>
        <w:rPr>
          <w:rFonts w:hint="eastAsia" w:eastAsia="仿宋_GB2312"/>
          <w:color w:val="auto"/>
          <w:kern w:val="0"/>
          <w:sz w:val="32"/>
          <w:szCs w:val="32"/>
        </w:rPr>
        <w:t>的规定，我局</w:t>
      </w:r>
      <w:r>
        <w:rPr>
          <w:rFonts w:hint="eastAsia" w:eastAsia="仿宋_GB2312"/>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限期三个月内改正违法行为</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lang w:val="en-US" w:eastAsia="zh-CN"/>
        </w:rPr>
        <w:t>没收违法所得八万七千七百六十元二角</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 xml:space="preserve">3.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一万五千元</w:t>
      </w:r>
      <w:r>
        <w:rPr>
          <w:rFonts w:hint="eastAsia" w:eastAsia="仿宋_GB2312"/>
          <w:color w:val="auto"/>
          <w:kern w:val="0"/>
          <w:sz w:val="32"/>
          <w:szCs w:val="32"/>
          <w:lang w:val="en-US"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限期三个月内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无许可证不得从事放射性同位素和射线装置生产、销售、使用活动。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24</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9A9C2"/>
    <w:multiLevelType w:val="singleLevel"/>
    <w:tmpl w:val="BF59A9C2"/>
    <w:lvl w:ilvl="0" w:tentative="0">
      <w:start w:val="1"/>
      <w:numFmt w:val="chineseCounting"/>
      <w:suff w:val="nothing"/>
      <w:lvlText w:val="%1、"/>
      <w:lvlJc w:val="left"/>
      <w:rPr>
        <w:rFonts w:hint="eastAsia"/>
      </w:rPr>
    </w:lvl>
  </w:abstractNum>
  <w:abstractNum w:abstractNumId="1">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5F93732D"/>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3F417C"/>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AF20311"/>
    <w:rsid w:val="1E763007"/>
    <w:rsid w:val="23D96EAA"/>
    <w:rsid w:val="267C16DC"/>
    <w:rsid w:val="28E118B6"/>
    <w:rsid w:val="2A1A666F"/>
    <w:rsid w:val="2B946F65"/>
    <w:rsid w:val="2D8321C2"/>
    <w:rsid w:val="2EE92518"/>
    <w:rsid w:val="3214796D"/>
    <w:rsid w:val="39B43C0B"/>
    <w:rsid w:val="39CE1AF2"/>
    <w:rsid w:val="3FB35775"/>
    <w:rsid w:val="450F61CB"/>
    <w:rsid w:val="4A3E05CE"/>
    <w:rsid w:val="4A437691"/>
    <w:rsid w:val="4BD91CDD"/>
    <w:rsid w:val="4C455C43"/>
    <w:rsid w:val="502F15FB"/>
    <w:rsid w:val="503F23C3"/>
    <w:rsid w:val="51935037"/>
    <w:rsid w:val="553A03CB"/>
    <w:rsid w:val="58763D60"/>
    <w:rsid w:val="5B2B71EC"/>
    <w:rsid w:val="5BDF2ED1"/>
    <w:rsid w:val="5F202328"/>
    <w:rsid w:val="5F7C4535"/>
    <w:rsid w:val="5F93732D"/>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64&#28392;&#28023;&#26032;&#21306;&#19990;&#32426;&#21307;&#38498;&#26080;&#36752;&#23556;&#23433;&#20840;&#35768;&#21487;&#35777;&#20351;&#29992;&#23556;&#32447;&#35013;&#3262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5</Pages>
  <Words>1729</Words>
  <Characters>1851</Characters>
  <Lines>8</Lines>
  <Paragraphs>2</Paragraphs>
  <TotalTime>8</TotalTime>
  <ScaleCrop>false</ScaleCrop>
  <LinksUpToDate>false</LinksUpToDate>
  <CharactersWithSpaces>1987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2023-09-27T03:19:00Z</dcterms:created>
  <dc:creator>暗香</dc:creator>
  <cp:lastModifiedBy>暗香</cp:lastModifiedBy>
  <dcterms:modified xsi:type="dcterms:W3CDTF">2023-10-25T07:18:42Z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3986EB9AB1F74C8EB9272A1430137638_11</vt:lpwstr>
  </property>
</Properties>
</file>