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bookmarkStart w:id="5" w:name="_GoBack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167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天津市枫树林成品油经营有限公司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</w:rPr>
        <w:t>9112022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406986371X5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天津市宝坻区周良庄珠江温泉城西侧宝白路与规划路交叉口处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张洪生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调查情况及发现的环境违法事实、证据和陈述申辩（听证）</w:t>
      </w:r>
      <w:r>
        <w:rPr>
          <w:rFonts w:hint="eastAsia" w:eastAsia="黑体"/>
          <w:color w:val="auto"/>
          <w:kern w:val="0"/>
          <w:sz w:val="32"/>
          <w:szCs w:val="32"/>
          <w:lang w:eastAsia="zh-CN"/>
        </w:rPr>
        <w:t>及采纳情况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2023年6月14日</w:t>
      </w:r>
      <w:r>
        <w:rPr>
          <w:rFonts w:eastAsia="仿宋_GB2312"/>
          <w:color w:val="auto"/>
          <w:sz w:val="32"/>
          <w:szCs w:val="32"/>
        </w:rPr>
        <w:t>对你单位进行了调查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。现场检查时，你单位正常营业。天津市生态环境保护综合行政执法总队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委托天津市生态环境监测中心对你单位4把加油枪的气液比进行监测，并出具《监测报告》〔津环监（监）7-2306012-5号〕。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《监测报告》〔津环监（监）7-2306012-5号〕显示：4号加油机的7</w:t>
      </w:r>
      <w:r>
        <w:rPr>
          <w:rFonts w:hint="eastAsia" w:eastAsia="仿宋_GB2312"/>
          <w:color w:val="auto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加油枪气液比为0.8，不符合《加油站大气污染物排放标准》（GB20952-2020）中“5.3各种加油油气回收系统的气液比均应在大于等于1.0和小于等于1.2范围内”的规定。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《监测报告》〔津环监（监）7-2306012-5号〕</w:t>
      </w:r>
      <w:bookmarkEnd w:id="3"/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《加油站大气污染物排放标准》（GB20952-2020）、</w:t>
      </w:r>
      <w:r>
        <w:rPr>
          <w:rFonts w:eastAsia="仿宋_GB2312"/>
          <w:color w:val="auto"/>
          <w:sz w:val="32"/>
          <w:szCs w:val="32"/>
        </w:rPr>
        <w:t>现场拍摄的视频以及营业执照复印件等证据为凭。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违反了《中华人民共和国大气污染防治法》第四十七条第二款的规定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102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1.现场检查后，企业及时对设备进行维护，查找问题原因，完成问题整改；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2.企业一直按照国家标准进行自检，此次执法检查前于2023年5月6日请第三方进行相应检测并出具检测合格的报告，认为此次处罚金额过大，望减免处罚。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102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采纳你单位提交的陈述申辩意见，依据《中华人民共和国行政处罚法》第三十二条第（一）项的规定，对你单位从轻处罚。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依据《中华人民共和国大气污染防治法》第一百零八条第（四）项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二</w:t>
      </w:r>
      <w:r>
        <w:rPr>
          <w:rFonts w:eastAsia="仿宋_GB2312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你单位应按照国家有关规定安装油气回收装置并保持正常使用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bookmarkEnd w:id="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EC747"/>
    <w:multiLevelType w:val="singleLevel"/>
    <w:tmpl w:val="A48EC7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3429339D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1757F74"/>
    <w:rsid w:val="0BC97030"/>
    <w:rsid w:val="0DE05630"/>
    <w:rsid w:val="16FD0578"/>
    <w:rsid w:val="23D96EAA"/>
    <w:rsid w:val="2A1A666F"/>
    <w:rsid w:val="2B946F65"/>
    <w:rsid w:val="2D8321C2"/>
    <w:rsid w:val="2EE92518"/>
    <w:rsid w:val="308448C3"/>
    <w:rsid w:val="3214796D"/>
    <w:rsid w:val="3429339D"/>
    <w:rsid w:val="450F61CB"/>
    <w:rsid w:val="454B3FF6"/>
    <w:rsid w:val="4A3E05CE"/>
    <w:rsid w:val="4A437691"/>
    <w:rsid w:val="4AC81090"/>
    <w:rsid w:val="4BD91CDD"/>
    <w:rsid w:val="502F15FB"/>
    <w:rsid w:val="503F23C3"/>
    <w:rsid w:val="51935037"/>
    <w:rsid w:val="52ED2B9B"/>
    <w:rsid w:val="553A03CB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6DD156B9"/>
    <w:rsid w:val="72330BA4"/>
    <w:rsid w:val="73744CD2"/>
    <w:rsid w:val="742B7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5">
    <w:name w:val="正文1"/>
    <w:next w:val="16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6">
    <w:name w:val="正文文本1"/>
    <w:basedOn w:val="15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5191;&#27861;&#24635;&#38431;&#34892;&#25919;&#22788;&#32602;&#25991;&#20070;&#27169;&#29256;2023.7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1090</Words>
  <Characters>1167</Characters>
  <Lines>8</Lines>
  <Paragraphs>2</Paragraphs>
  <TotalTime>4</TotalTime>
  <ScaleCrop>false</ScaleCrop>
  <LinksUpToDate>false</LinksUpToDate>
  <CharactersWithSpaces>1298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2023-08-31T01:46:00Z</dcterms:created>
  <dc:creator>何敏</dc:creator>
  <cp:lastModifiedBy>何敏</cp:lastModifiedBy>
  <dcterms:modified xsi:type="dcterms:W3CDTF">2023-09-12T06:34:05Z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CFC85494DF2C4F1C9B6E24AFA65A5079_13</vt:lpwstr>
  </property>
</Properties>
</file>