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天津市豪饰地毯有限公司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9112022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4694082329G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宝坻区牛家牌镇汪曹庄村东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张淑芹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6月13日</w:t>
      </w:r>
      <w:r>
        <w:rPr>
          <w:rFonts w:eastAsia="仿宋_GB2312"/>
          <w:color w:val="auto"/>
          <w:kern w:val="0"/>
          <w:sz w:val="32"/>
          <w:szCs w:val="32"/>
        </w:rPr>
        <w:t>对你单位进行了调查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，按照《天津市豪饰地毯有限公司现状环境影响评估报告》，你单位热转印机产生热转印废气即挥发性有机物废气，由集气罩收集后经“光触媒催化氧化+活性炭吸附”处理后经15米高排气筒P2排放。经调查，</w:t>
      </w:r>
      <w:r>
        <w:rPr>
          <w:rFonts w:eastAsia="仿宋_GB2312"/>
          <w:color w:val="auto"/>
          <w:kern w:val="0"/>
          <w:sz w:val="32"/>
          <w:szCs w:val="32"/>
        </w:rPr>
        <w:t>发现你单位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存在</w:t>
      </w:r>
      <w:r>
        <w:rPr>
          <w:rFonts w:eastAsia="仿宋_GB2312"/>
          <w:color w:val="auto"/>
          <w:kern w:val="0"/>
          <w:sz w:val="32"/>
          <w:szCs w:val="32"/>
        </w:rPr>
        <w:t>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2023年6月13日，我局对你单位现场检查时，你单位2台热转印机正在生产，未安装污染防治设施。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及</w:t>
      </w:r>
      <w:r>
        <w:rPr>
          <w:rFonts w:eastAsia="仿宋_GB2312"/>
          <w:color w:val="auto"/>
          <w:kern w:val="0"/>
          <w:sz w:val="32"/>
          <w:szCs w:val="32"/>
        </w:rPr>
        <w:t>拍摄的视频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你单位提供的《天津市豪饰地毯有限公司现状环境影响评估报告》</w:t>
      </w:r>
      <w:r>
        <w:rPr>
          <w:rFonts w:eastAsia="仿宋_GB2312"/>
          <w:color w:val="auto"/>
          <w:kern w:val="0"/>
          <w:sz w:val="32"/>
          <w:szCs w:val="32"/>
        </w:rPr>
        <w:t>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了</w:t>
      </w:r>
      <w:r>
        <w:rPr>
          <w:rFonts w:hint="eastAsia" w:eastAsia="仿宋_GB2312"/>
          <w:color w:val="auto"/>
          <w:kern w:val="0"/>
          <w:sz w:val="32"/>
          <w:szCs w:val="32"/>
        </w:rPr>
        <w:t>《中华人民共和国大气污染防治法》第四十五条</w:t>
      </w:r>
      <w:r>
        <w:rPr>
          <w:rFonts w:eastAsia="仿宋_GB2312"/>
          <w:color w:val="auto"/>
          <w:kern w:val="0"/>
          <w:sz w:val="32"/>
          <w:szCs w:val="32"/>
        </w:rPr>
        <w:t xml:space="preserve">的规定，依法应当予以处罚。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95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，主要内容如下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1.2021年11月7日特大暴风雪将新技改的厂房造成严重损坏，工厂全面停产，损失严重；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2.2023年，由于资金严重不足，各种设备迟迟没有到位导致工厂不能正常生产，没有办法只能从被损坏的热转印机中拼装了2台，在6月份进行调试生产，未来得及安装废气处理设施。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现我公司积极借资金购买废气治理设施，所以恳请天津市生态环境局对我公司的处罚给予免除。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95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你单位的陈述申辩意见不影响违法事实的认定，对你单位的陈述申辩意见不予采纳。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依据《中华人民共和国大气污染防治法》第一百零八条第（一）项的规定，我局：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1.责令你单位限期一个月内改正违法行为；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2.对你单位处罚款四万元。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一个月内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，在进行产生含挥发性有机物废气的生产活动时，按照规定安装、使用污染防治设施。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147E21E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47E21EB"/>
    <w:rsid w:val="16FD0578"/>
    <w:rsid w:val="234B064A"/>
    <w:rsid w:val="23D96EAA"/>
    <w:rsid w:val="2A1A666F"/>
    <w:rsid w:val="2B946F65"/>
    <w:rsid w:val="2D8321C2"/>
    <w:rsid w:val="2EE92518"/>
    <w:rsid w:val="3214796D"/>
    <w:rsid w:val="450F61CB"/>
    <w:rsid w:val="4A3E05CE"/>
    <w:rsid w:val="4A437691"/>
    <w:rsid w:val="4BD91CDD"/>
    <w:rsid w:val="502F15FB"/>
    <w:rsid w:val="503F23C3"/>
    <w:rsid w:val="516F11FE"/>
    <w:rsid w:val="51935037"/>
    <w:rsid w:val="553A03CB"/>
    <w:rsid w:val="58763D60"/>
    <w:rsid w:val="593017F2"/>
    <w:rsid w:val="5BDF2ED1"/>
    <w:rsid w:val="5F7C4535"/>
    <w:rsid w:val="624F5E3E"/>
    <w:rsid w:val="6404560A"/>
    <w:rsid w:val="64F75746"/>
    <w:rsid w:val="6626043C"/>
    <w:rsid w:val="66B216B2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&#22788;&#32602;\47&#35946;&#39280;&#22320;&#27631;&#22823;&#27668;&#27861;45&#26465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1514</Words>
  <Characters>1626</Characters>
  <Lines>8</Lines>
  <Paragraphs>2</Paragraphs>
  <TotalTime>5</TotalTime>
  <ScaleCrop>false</ScaleCrop>
  <LinksUpToDate>false</LinksUpToDate>
  <CharactersWithSpaces>1754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2023-08-21T03:20:00Z</dcterms:created>
  <dc:creator>暗香</dc:creator>
  <cp:lastModifiedBy>暗香</cp:lastModifiedBy>
  <cp:lastPrinted>2023-08-29T02:44:00Z</cp:lastPrinted>
  <dcterms:modified xsi:type="dcterms:W3CDTF">2023-09-01T08:12:50Z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FBB069C2B8974283BA304B756EECFB90_11</vt:lpwstr>
  </property>
</Properties>
</file>