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both"/>
        <w:textAlignment w:val="auto"/>
        <w:rPr>
          <w:rFonts w:eastAsia="仿宋_GB2312"/>
          <w:color w:val="auto"/>
          <w:spacing w:val="1"/>
          <w:kern w:val="0"/>
          <w:position w:val="-2"/>
          <w:sz w:val="32"/>
          <w:szCs w:val="32"/>
        </w:rPr>
      </w:pPr>
    </w:p>
    <w:p>
      <w:pPr>
        <w:tabs>
          <w:tab w:val="left" w:pos="4600"/>
        </w:tabs>
        <w:autoSpaceDE w:val="0"/>
        <w:autoSpaceDN w:val="0"/>
        <w:adjustRightInd w:val="0"/>
        <w:snapToGrid w:val="0"/>
        <w:spacing w:line="360" w:lineRule="auto"/>
        <w:ind w:right="-119"/>
        <w:jc w:val="center"/>
        <w:rPr>
          <w:rFonts w:eastAsia="仿宋_GB2312"/>
          <w:color w:val="auto"/>
          <w:kern w:val="0"/>
          <w:position w:val="-2"/>
          <w:sz w:val="32"/>
          <w:szCs w:val="32"/>
        </w:rPr>
      </w:pPr>
      <w:r>
        <w:rPr>
          <w:rFonts w:eastAsia="仿宋_GB2312"/>
          <w:color w:val="auto"/>
          <w:spacing w:val="1"/>
          <w:kern w:val="0"/>
          <w:position w:val="-2"/>
          <w:sz w:val="32"/>
          <w:szCs w:val="32"/>
        </w:rPr>
        <w:t>津市</w:t>
      </w:r>
      <w:bookmarkEnd w:id="1"/>
      <w:r>
        <w:rPr>
          <w:rFonts w:eastAsia="仿宋_GB2312"/>
          <w:color w:val="auto"/>
          <w:spacing w:val="1"/>
          <w:kern w:val="0"/>
          <w:position w:val="-2"/>
          <w:sz w:val="32"/>
          <w:szCs w:val="32"/>
        </w:rPr>
        <w:t>环罚字</w:t>
      </w:r>
      <w:bookmarkStart w:id="2" w:name="PO_7_NianDuBianHao"/>
      <w:r>
        <w:rPr>
          <w:rFonts w:eastAsia="仿宋_GB2312"/>
          <w:color w:val="auto"/>
          <w:kern w:val="0"/>
          <w:position w:val="-2"/>
          <w:sz w:val="32"/>
          <w:szCs w:val="32"/>
        </w:rPr>
        <w:t>〔20</w:t>
      </w:r>
      <w:bookmarkEnd w:id="2"/>
      <w:r>
        <w:rPr>
          <w:rFonts w:hint="eastAsia" w:eastAsia="仿宋_GB2312"/>
          <w:color w:val="auto"/>
          <w:kern w:val="0"/>
          <w:position w:val="-2"/>
          <w:sz w:val="32"/>
          <w:szCs w:val="32"/>
          <w:lang w:val="en-US" w:eastAsia="zh-CN"/>
        </w:rPr>
        <w:t>23</w:t>
      </w:r>
      <w:r>
        <w:rPr>
          <w:rFonts w:eastAsia="仿宋_GB2312"/>
          <w:color w:val="auto"/>
          <w:kern w:val="0"/>
          <w:position w:val="-2"/>
          <w:sz w:val="32"/>
          <w:szCs w:val="32"/>
        </w:rPr>
        <w:t>〕</w:t>
      </w:r>
      <w:r>
        <w:rPr>
          <w:rFonts w:hint="eastAsia" w:eastAsia="仿宋_GB2312"/>
          <w:color w:val="auto"/>
          <w:kern w:val="0"/>
          <w:sz w:val="32"/>
          <w:szCs w:val="32"/>
          <w:lang w:val="en-US" w:eastAsia="zh-CN"/>
        </w:rPr>
        <w:t>125</w:t>
      </w:r>
      <w:r>
        <w:rPr>
          <w:rFonts w:eastAsia="仿宋_GB2312"/>
          <w:color w:val="auto"/>
          <w:kern w:val="0"/>
          <w:position w:val="-2"/>
          <w:sz w:val="32"/>
          <w:szCs w:val="32"/>
        </w:rPr>
        <w:t>号</w:t>
      </w:r>
    </w:p>
    <w:p>
      <w:pPr>
        <w:tabs>
          <w:tab w:val="left" w:pos="4600"/>
        </w:tabs>
        <w:autoSpaceDE w:val="0"/>
        <w:autoSpaceDN w:val="0"/>
        <w:adjustRightInd w:val="0"/>
        <w:snapToGrid w:val="0"/>
        <w:spacing w:line="360" w:lineRule="auto"/>
        <w:ind w:right="-119"/>
        <w:jc w:val="center"/>
        <w:rPr>
          <w:rFonts w:eastAsia="仿宋_GB2312"/>
          <w:color w:val="auto"/>
          <w:kern w:val="0"/>
          <w:position w:val="-2"/>
          <w:sz w:val="32"/>
          <w:szCs w:val="32"/>
        </w:rPr>
      </w:pPr>
    </w:p>
    <w:p>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536" w:lineRule="exact"/>
        <w:jc w:val="both"/>
        <w:textAlignment w:val="auto"/>
        <w:rPr>
          <w:rFonts w:eastAsia="仿宋_GB2312"/>
          <w:color w:val="auto"/>
          <w:kern w:val="0"/>
          <w:sz w:val="32"/>
          <w:szCs w:val="32"/>
        </w:rPr>
      </w:pPr>
      <w:r>
        <w:rPr>
          <w:rFonts w:hint="eastAsia" w:eastAsia="仿宋_GB2312"/>
          <w:color w:val="auto"/>
          <w:kern w:val="0"/>
          <w:sz w:val="32"/>
          <w:szCs w:val="32"/>
          <w:lang w:val="en-US" w:eastAsia="zh-CN"/>
        </w:rPr>
        <w:t>天津仁义塑料制品股份有限公司</w:t>
      </w:r>
      <w:r>
        <w:rPr>
          <w:rFonts w:eastAsia="仿宋_GB2312"/>
          <w:color w:val="auto"/>
          <w:kern w:val="0"/>
          <w:sz w:val="32"/>
          <w:szCs w:val="32"/>
        </w:rPr>
        <w:t>：</w:t>
      </w:r>
    </w:p>
    <w:p>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536" w:lineRule="exact"/>
        <w:jc w:val="both"/>
        <w:textAlignment w:val="auto"/>
        <w:rPr>
          <w:rFonts w:hint="eastAsia" w:eastAsia="仿宋_GB2312"/>
          <w:color w:val="auto"/>
          <w:kern w:val="0"/>
          <w:sz w:val="32"/>
          <w:szCs w:val="32"/>
        </w:rPr>
      </w:pPr>
      <w:r>
        <w:rPr>
          <w:rFonts w:eastAsia="仿宋_GB2312"/>
          <w:color w:val="auto"/>
          <w:kern w:val="0"/>
          <w:sz w:val="32"/>
          <w:szCs w:val="32"/>
        </w:rPr>
        <w:t>统一社会信用代码：</w:t>
      </w:r>
      <w:r>
        <w:rPr>
          <w:rFonts w:hint="eastAsia" w:eastAsia="仿宋_GB2312"/>
          <w:color w:val="auto"/>
          <w:kern w:val="0"/>
          <w:sz w:val="32"/>
          <w:szCs w:val="32"/>
          <w:lang w:val="en-US" w:eastAsia="zh-CN"/>
        </w:rPr>
        <w:t>911201115961144118</w:t>
      </w:r>
    </w:p>
    <w:p>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536" w:lineRule="exact"/>
        <w:jc w:val="both"/>
        <w:textAlignment w:val="auto"/>
        <w:rPr>
          <w:rFonts w:hint="eastAsia" w:eastAsia="仿宋_GB2312"/>
          <w:color w:val="auto"/>
          <w:kern w:val="0"/>
          <w:sz w:val="32"/>
          <w:szCs w:val="32"/>
        </w:rPr>
      </w:pPr>
      <w:r>
        <w:rPr>
          <w:rFonts w:eastAsia="仿宋_GB2312"/>
          <w:color w:val="auto"/>
          <w:kern w:val="0"/>
          <w:sz w:val="32"/>
          <w:szCs w:val="32"/>
        </w:rPr>
        <w:t>地址：</w:t>
      </w:r>
      <w:r>
        <w:rPr>
          <w:rFonts w:hint="eastAsia" w:eastAsia="仿宋_GB2312"/>
          <w:color w:val="auto"/>
          <w:kern w:val="0"/>
          <w:sz w:val="32"/>
          <w:szCs w:val="32"/>
          <w:lang w:eastAsia="zh-CN"/>
        </w:rPr>
        <w:t>天</w:t>
      </w:r>
      <w:r>
        <w:rPr>
          <w:rFonts w:hint="eastAsia" w:eastAsia="仿宋_GB2312"/>
          <w:color w:val="auto"/>
          <w:kern w:val="0"/>
          <w:sz w:val="32"/>
          <w:szCs w:val="32"/>
          <w:lang w:val="en-US" w:eastAsia="zh-CN"/>
        </w:rPr>
        <w:t>津市西青区王稳庄镇赛达工业园新源道14号-2</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36" w:lineRule="exact"/>
        <w:jc w:val="both"/>
        <w:textAlignment w:val="auto"/>
        <w:rPr>
          <w:rFonts w:hint="eastAsia" w:eastAsia="仿宋_GB2312"/>
          <w:color w:val="auto"/>
          <w:kern w:val="0"/>
          <w:sz w:val="32"/>
          <w:szCs w:val="32"/>
        </w:rPr>
      </w:pPr>
      <w:r>
        <w:rPr>
          <w:rFonts w:hint="eastAsia" w:eastAsia="仿宋_GB2312"/>
          <w:color w:val="auto"/>
          <w:kern w:val="0"/>
          <w:sz w:val="32"/>
          <w:szCs w:val="32"/>
          <w:lang w:eastAsia="zh-CN"/>
        </w:rPr>
        <w:t>法定代表</w:t>
      </w:r>
      <w:r>
        <w:rPr>
          <w:rFonts w:eastAsia="仿宋_GB2312"/>
          <w:color w:val="auto"/>
          <w:kern w:val="0"/>
          <w:sz w:val="32"/>
          <w:szCs w:val="32"/>
        </w:rPr>
        <w:t>人：</w:t>
      </w:r>
      <w:r>
        <w:rPr>
          <w:rFonts w:hint="eastAsia" w:eastAsia="仿宋_GB2312"/>
          <w:color w:val="auto"/>
          <w:kern w:val="0"/>
          <w:sz w:val="32"/>
          <w:szCs w:val="32"/>
          <w:lang w:val="en-US" w:eastAsia="zh-CN"/>
        </w:rPr>
        <w:t>李京霖</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36" w:lineRule="exact"/>
        <w:jc w:val="both"/>
        <w:textAlignment w:val="auto"/>
        <w:rPr>
          <w:rFonts w:eastAsia="仿宋_GB2312"/>
          <w:color w:val="auto"/>
          <w:kern w:val="0"/>
          <w:sz w:val="32"/>
          <w:szCs w:val="32"/>
        </w:rPr>
      </w:pPr>
      <w:r>
        <w:rPr>
          <w:rFonts w:eastAsia="仿宋_GB2312"/>
          <w:color w:val="auto"/>
          <w:kern w:val="0"/>
          <w:sz w:val="32"/>
          <w:szCs w:val="32"/>
        </w:rPr>
        <w:t xml:space="preserve">    你单位环境违法</w:t>
      </w:r>
      <w:r>
        <w:rPr>
          <w:rFonts w:eastAsia="仿宋_GB2312"/>
          <w:color w:val="auto"/>
          <w:kern w:val="0"/>
          <w:position w:val="-2"/>
          <w:sz w:val="32"/>
          <w:szCs w:val="32"/>
        </w:rPr>
        <w:t>一案，我局经调查，现已审查终结。</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36" w:lineRule="exact"/>
        <w:ind w:firstLine="640" w:firstLineChars="200"/>
        <w:jc w:val="both"/>
        <w:textAlignment w:val="auto"/>
        <w:rPr>
          <w:rFonts w:eastAsia="黑体"/>
          <w:color w:val="auto"/>
          <w:kern w:val="0"/>
          <w:sz w:val="32"/>
          <w:szCs w:val="32"/>
        </w:rPr>
      </w:pPr>
      <w:r>
        <w:rPr>
          <w:rFonts w:eastAsia="黑体"/>
          <w:color w:val="auto"/>
          <w:kern w:val="0"/>
          <w:sz w:val="32"/>
          <w:szCs w:val="32"/>
        </w:rPr>
        <w:t>一、调查情况及发现的环境违法事实、证据和陈述申辩（听证）及采纳情况</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36"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我局于2023年5月12日对你单位进行了调查，参考你单位《仁义塑料2020年塑料制品新建生产线建设项目环境影响报告表》及批复（津西审环许可表〔2020〕122号），你单位注塑、吸塑、吹膜、制袋及印刷工艺产生有机废气，分别设置2套“UV光催化氧化+活性炭吸附”装置对有机废气进行收集处理，尾气经20m高排气筒P1、P2排放。经调查，发现你单位实施了以下环境违法行为：</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36"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执法人员现场检查时，你单位车间北侧生产线10台注塑机正在生产，配套的“UV光催化氧化+活性炭吸附”设施风机未开启。你单位行为属于产生含挥发性有机物废气的生产和服务活动，未按照规定使用污染防治设施。</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36"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以上事实，有</w:t>
      </w:r>
      <w:bookmarkStart w:id="3" w:name="PO_4_ShiShiZhengJu"/>
      <w:r>
        <w:rPr>
          <w:rFonts w:hint="eastAsia" w:eastAsia="仿宋_GB2312"/>
          <w:color w:val="auto"/>
          <w:sz w:val="32"/>
          <w:szCs w:val="32"/>
          <w:lang w:val="en-US" w:eastAsia="zh-CN"/>
        </w:rPr>
        <w:t>《天津市生态环境局现场检查（勘察）笔录》《天津市生态环境局调查询问笔录》、你单位提供的《仁义塑料2020年塑料制品新建生产线建设项目环境影响报告表》及批复（津西审环许可表〔2020〕122号）、现场拍摄的视频以及营业执照复印件</w:t>
      </w:r>
      <w:bookmarkEnd w:id="3"/>
      <w:r>
        <w:rPr>
          <w:rFonts w:hint="eastAsia" w:eastAsia="仿宋_GB2312"/>
          <w:color w:val="auto"/>
          <w:sz w:val="32"/>
          <w:szCs w:val="32"/>
          <w:lang w:val="en-US" w:eastAsia="zh-CN"/>
        </w:rPr>
        <w:t>等证据为凭。</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36" w:lineRule="exact"/>
        <w:ind w:firstLine="640" w:firstLineChars="200"/>
        <w:jc w:val="both"/>
        <w:textAlignment w:val="auto"/>
        <w:rPr>
          <w:rFonts w:eastAsia="仿宋_GB2312"/>
          <w:color w:val="auto"/>
          <w:kern w:val="0"/>
          <w:sz w:val="32"/>
          <w:szCs w:val="32"/>
        </w:rPr>
      </w:pPr>
      <w:r>
        <w:rPr>
          <w:rFonts w:eastAsia="仿宋_GB2312"/>
          <w:color w:val="auto"/>
          <w:sz w:val="32"/>
          <w:szCs w:val="32"/>
        </w:rPr>
        <w:t>你单位上述行为违反了</w:t>
      </w:r>
      <w:r>
        <w:rPr>
          <w:rFonts w:hint="eastAsia" w:eastAsia="仿宋_GB2312"/>
          <w:color w:val="auto"/>
          <w:sz w:val="32"/>
          <w:szCs w:val="32"/>
          <w:lang w:val="en-US" w:eastAsia="zh-CN"/>
        </w:rPr>
        <w:t>《中华人民共和国大气污染防治法》第四十五条的规定</w:t>
      </w:r>
      <w:r>
        <w:rPr>
          <w:rFonts w:eastAsia="仿宋_GB2312"/>
          <w:color w:val="auto"/>
          <w:kern w:val="0"/>
          <w:sz w:val="32"/>
          <w:szCs w:val="32"/>
        </w:rPr>
        <w:t>，依法应当予以处罚。</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536" w:lineRule="exact"/>
        <w:ind w:firstLine="640" w:firstLineChars="200"/>
        <w:jc w:val="both"/>
        <w:textAlignment w:val="auto"/>
        <w:rPr>
          <w:rFonts w:hint="eastAsia" w:eastAsia="仿宋_GB2312"/>
          <w:color w:val="auto"/>
          <w:kern w:val="0"/>
          <w:sz w:val="32"/>
          <w:szCs w:val="32"/>
        </w:rPr>
      </w:pPr>
      <w:r>
        <w:rPr>
          <w:rFonts w:eastAsia="仿宋_GB2312"/>
          <w:color w:val="auto"/>
          <w:kern w:val="0"/>
          <w:sz w:val="32"/>
          <w:szCs w:val="32"/>
        </w:rPr>
        <w:t>我局于20</w:t>
      </w:r>
      <w:r>
        <w:rPr>
          <w:rFonts w:hint="eastAsia" w:eastAsia="仿宋_GB2312"/>
          <w:color w:val="auto"/>
          <w:kern w:val="0"/>
          <w:sz w:val="32"/>
          <w:szCs w:val="32"/>
          <w:lang w:val="en-US" w:eastAsia="zh-CN"/>
        </w:rPr>
        <w:t>23</w:t>
      </w:r>
      <w:r>
        <w:rPr>
          <w:rFonts w:eastAsia="仿宋_GB2312"/>
          <w:color w:val="auto"/>
          <w:kern w:val="0"/>
          <w:sz w:val="32"/>
          <w:szCs w:val="32"/>
        </w:rPr>
        <w:t>年</w:t>
      </w:r>
      <w:r>
        <w:rPr>
          <w:rFonts w:hint="eastAsia" w:eastAsia="仿宋_GB2312"/>
          <w:color w:val="auto"/>
          <w:kern w:val="0"/>
          <w:sz w:val="32"/>
          <w:szCs w:val="32"/>
          <w:lang w:val="en-US" w:eastAsia="zh-CN"/>
        </w:rPr>
        <w:t>6</w:t>
      </w:r>
      <w:r>
        <w:rPr>
          <w:rFonts w:eastAsia="仿宋_GB2312"/>
          <w:color w:val="auto"/>
          <w:kern w:val="0"/>
          <w:sz w:val="32"/>
          <w:szCs w:val="32"/>
        </w:rPr>
        <w:t>月</w:t>
      </w:r>
      <w:r>
        <w:rPr>
          <w:rFonts w:hint="eastAsia" w:eastAsia="仿宋_GB2312"/>
          <w:color w:val="auto"/>
          <w:kern w:val="0"/>
          <w:sz w:val="32"/>
          <w:szCs w:val="32"/>
          <w:lang w:val="en-US" w:eastAsia="zh-CN"/>
        </w:rPr>
        <w:t>26</w:t>
      </w:r>
      <w:r>
        <w:rPr>
          <w:rFonts w:eastAsia="仿宋_GB2312"/>
          <w:color w:val="auto"/>
          <w:kern w:val="0"/>
          <w:sz w:val="32"/>
          <w:szCs w:val="32"/>
        </w:rPr>
        <w:t>日以《天津市生态环境局行政处罚</w:t>
      </w:r>
      <w:r>
        <w:rPr>
          <w:rFonts w:hint="eastAsia" w:eastAsia="仿宋_GB2312"/>
          <w:color w:val="auto"/>
          <w:kern w:val="0"/>
          <w:sz w:val="32"/>
          <w:szCs w:val="32"/>
          <w:lang w:eastAsia="zh-CN"/>
        </w:rPr>
        <w:t>事先</w:t>
      </w:r>
      <w:r>
        <w:rPr>
          <w:rFonts w:eastAsia="仿宋_GB2312"/>
          <w:color w:val="auto"/>
          <w:kern w:val="0"/>
          <w:sz w:val="32"/>
          <w:szCs w:val="32"/>
        </w:rPr>
        <w:t>告知书》（津市环</w:t>
      </w:r>
      <w:r>
        <w:rPr>
          <w:rFonts w:hint="eastAsia" w:eastAsia="仿宋_GB2312"/>
          <w:color w:val="auto"/>
          <w:kern w:val="0"/>
          <w:sz w:val="32"/>
          <w:szCs w:val="32"/>
          <w:lang w:eastAsia="zh-CN"/>
        </w:rPr>
        <w:t>事</w:t>
      </w:r>
      <w:r>
        <w:rPr>
          <w:rFonts w:eastAsia="仿宋_GB2312"/>
          <w:color w:val="auto"/>
          <w:kern w:val="0"/>
          <w:sz w:val="32"/>
          <w:szCs w:val="32"/>
        </w:rPr>
        <w:t>告字〔20</w:t>
      </w:r>
      <w:r>
        <w:rPr>
          <w:rFonts w:hint="eastAsia" w:eastAsia="仿宋_GB2312"/>
          <w:color w:val="auto"/>
          <w:kern w:val="0"/>
          <w:sz w:val="32"/>
          <w:szCs w:val="32"/>
          <w:lang w:val="en-US" w:eastAsia="zh-CN"/>
        </w:rPr>
        <w:t>23</w:t>
      </w:r>
      <w:r>
        <w:rPr>
          <w:rFonts w:eastAsia="仿宋_GB2312"/>
          <w:color w:val="auto"/>
          <w:kern w:val="0"/>
          <w:sz w:val="32"/>
          <w:szCs w:val="32"/>
        </w:rPr>
        <w:t>〕</w:t>
      </w:r>
      <w:r>
        <w:rPr>
          <w:rFonts w:hint="eastAsia" w:eastAsia="仿宋_GB2312"/>
          <w:color w:val="auto"/>
          <w:kern w:val="0"/>
          <w:sz w:val="32"/>
          <w:szCs w:val="32"/>
          <w:lang w:val="en-US" w:eastAsia="zh-CN"/>
        </w:rPr>
        <w:t>66</w:t>
      </w:r>
      <w:r>
        <w:rPr>
          <w:rFonts w:eastAsia="仿宋_GB2312"/>
          <w:color w:val="auto"/>
          <w:kern w:val="0"/>
          <w:sz w:val="32"/>
          <w:szCs w:val="32"/>
        </w:rPr>
        <w:t>号），告知你单位违法事实、处罚依据和拟作出的处罚决定，并明确告知你单位有权进行陈述、申辩。</w:t>
      </w:r>
      <w:r>
        <w:rPr>
          <w:rFonts w:hint="eastAsia" w:eastAsia="仿宋_GB2312"/>
          <w:color w:val="auto"/>
          <w:kern w:val="0"/>
          <w:sz w:val="32"/>
          <w:szCs w:val="32"/>
        </w:rPr>
        <w:t>我局于20</w:t>
      </w:r>
      <w:r>
        <w:rPr>
          <w:rFonts w:hint="eastAsia" w:eastAsia="仿宋_GB2312"/>
          <w:color w:val="auto"/>
          <w:kern w:val="0"/>
          <w:sz w:val="32"/>
          <w:szCs w:val="32"/>
          <w:lang w:val="en-US" w:eastAsia="zh-CN"/>
        </w:rPr>
        <w:t>23</w:t>
      </w:r>
      <w:r>
        <w:rPr>
          <w:rFonts w:hint="eastAsia" w:eastAsia="仿宋_GB2312"/>
          <w:color w:val="auto"/>
          <w:kern w:val="0"/>
          <w:sz w:val="32"/>
          <w:szCs w:val="32"/>
        </w:rPr>
        <w:t>年</w:t>
      </w:r>
      <w:r>
        <w:rPr>
          <w:rFonts w:hint="eastAsia" w:eastAsia="仿宋_GB2312"/>
          <w:color w:val="auto"/>
          <w:kern w:val="0"/>
          <w:sz w:val="32"/>
          <w:szCs w:val="32"/>
          <w:lang w:val="en-US" w:eastAsia="zh-CN"/>
        </w:rPr>
        <w:t>6</w:t>
      </w:r>
      <w:r>
        <w:rPr>
          <w:rFonts w:hint="eastAsia" w:eastAsia="仿宋_GB2312"/>
          <w:color w:val="auto"/>
          <w:kern w:val="0"/>
          <w:sz w:val="32"/>
          <w:szCs w:val="32"/>
        </w:rPr>
        <w:t>月</w:t>
      </w:r>
      <w:r>
        <w:rPr>
          <w:rFonts w:hint="eastAsia" w:eastAsia="仿宋_GB2312"/>
          <w:color w:val="auto"/>
          <w:kern w:val="0"/>
          <w:sz w:val="32"/>
          <w:szCs w:val="32"/>
          <w:lang w:val="en-US" w:eastAsia="zh-CN"/>
        </w:rPr>
        <w:t>27</w:t>
      </w:r>
      <w:r>
        <w:rPr>
          <w:rFonts w:hint="eastAsia" w:eastAsia="仿宋_GB2312"/>
          <w:color w:val="auto"/>
          <w:kern w:val="0"/>
          <w:sz w:val="32"/>
          <w:szCs w:val="32"/>
        </w:rPr>
        <w:t>日向你单位</w:t>
      </w:r>
      <w:r>
        <w:rPr>
          <w:rFonts w:hint="eastAsia" w:eastAsia="仿宋_GB2312"/>
          <w:color w:val="auto"/>
          <w:kern w:val="0"/>
          <w:sz w:val="32"/>
          <w:szCs w:val="32"/>
          <w:lang w:eastAsia="zh-CN"/>
        </w:rPr>
        <w:t>直接</w:t>
      </w:r>
      <w:r>
        <w:rPr>
          <w:rFonts w:hint="eastAsia" w:eastAsia="仿宋_GB2312"/>
          <w:color w:val="auto"/>
          <w:kern w:val="0"/>
          <w:sz w:val="32"/>
          <w:szCs w:val="32"/>
        </w:rPr>
        <w:t>送达上述文件，你单位于当日签收。</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beforeAutospacing="0" w:afterAutospacing="0" w:line="536" w:lineRule="exact"/>
        <w:ind w:firstLine="640" w:firstLineChars="200"/>
        <w:jc w:val="both"/>
        <w:textAlignment w:val="auto"/>
        <w:rPr>
          <w:rFonts w:hint="eastAsia" w:eastAsia="仿宋_GB2312"/>
          <w:color w:val="auto"/>
          <w:kern w:val="0"/>
          <w:sz w:val="32"/>
          <w:szCs w:val="32"/>
        </w:rPr>
      </w:pPr>
      <w:r>
        <w:rPr>
          <w:rFonts w:hint="eastAsia" w:eastAsia="仿宋_GB2312"/>
          <w:color w:val="auto"/>
          <w:kern w:val="0"/>
          <w:sz w:val="32"/>
          <w:szCs w:val="32"/>
          <w:lang w:val="en-US" w:eastAsia="zh-CN"/>
        </w:rPr>
        <w:t>2023年7月7日</w:t>
      </w:r>
      <w:r>
        <w:rPr>
          <w:rFonts w:hint="eastAsia" w:eastAsia="仿宋_GB2312"/>
          <w:color w:val="auto"/>
          <w:kern w:val="0"/>
          <w:sz w:val="32"/>
          <w:szCs w:val="32"/>
        </w:rPr>
        <w:t>你单位</w:t>
      </w:r>
      <w:r>
        <w:rPr>
          <w:rFonts w:hint="eastAsia" w:eastAsia="仿宋_GB2312"/>
          <w:color w:val="auto"/>
          <w:kern w:val="0"/>
          <w:sz w:val="32"/>
          <w:szCs w:val="32"/>
          <w:lang w:val="en-US" w:eastAsia="zh-CN"/>
        </w:rPr>
        <w:t>向</w:t>
      </w:r>
      <w:r>
        <w:rPr>
          <w:rFonts w:hint="eastAsia" w:eastAsia="仿宋_GB2312"/>
          <w:color w:val="auto"/>
          <w:kern w:val="0"/>
          <w:sz w:val="32"/>
          <w:szCs w:val="32"/>
        </w:rPr>
        <w:t>我局提</w:t>
      </w:r>
      <w:r>
        <w:rPr>
          <w:rFonts w:hint="eastAsia" w:eastAsia="仿宋_GB2312"/>
          <w:color w:val="auto"/>
          <w:kern w:val="0"/>
          <w:sz w:val="32"/>
          <w:szCs w:val="32"/>
          <w:lang w:eastAsia="zh-CN"/>
        </w:rPr>
        <w:t>出</w:t>
      </w:r>
      <w:r>
        <w:rPr>
          <w:rFonts w:hint="eastAsia" w:eastAsia="仿宋_GB2312"/>
          <w:color w:val="auto"/>
          <w:kern w:val="0"/>
          <w:sz w:val="32"/>
          <w:szCs w:val="32"/>
        </w:rPr>
        <w:t>陈述申辩意见</w:t>
      </w:r>
      <w:r>
        <w:rPr>
          <w:rFonts w:hint="eastAsia" w:eastAsia="仿宋_GB2312"/>
          <w:color w:val="auto"/>
          <w:kern w:val="0"/>
          <w:sz w:val="32"/>
          <w:szCs w:val="32"/>
          <w:lang w:eastAsia="zh-CN"/>
        </w:rPr>
        <w:t>，主要内容</w:t>
      </w:r>
      <w:r>
        <w:rPr>
          <w:rFonts w:hint="eastAsia" w:eastAsia="仿宋_GB2312"/>
          <w:color w:val="auto"/>
          <w:kern w:val="0"/>
          <w:sz w:val="32"/>
          <w:szCs w:val="32"/>
        </w:rPr>
        <w:t>如下：</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36" w:lineRule="exact"/>
        <w:ind w:firstLine="640" w:firstLineChars="200"/>
        <w:jc w:val="both"/>
        <w:textAlignment w:val="auto"/>
        <w:rPr>
          <w:rFonts w:hint="eastAsia"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w:t>
      </w:r>
      <w:r>
        <w:rPr>
          <w:rFonts w:hint="eastAsia" w:eastAsia="仿宋_GB2312" w:cs="Times New Roman"/>
          <w:color w:val="auto"/>
          <w:kern w:val="2"/>
          <w:sz w:val="32"/>
          <w:szCs w:val="32"/>
          <w:lang w:val="en-US" w:eastAsia="zh-CN" w:bidi="ar-SA"/>
        </w:rPr>
        <w:t>现场检查时发现车间北侧生产线10台注塑机正在生产，配套的“UV光氧催化氧化+活性炭吸附”设施风机未开启，我单位当场整改开启。我单位安装的工况用电检测和环保智慧检测APP均未接到故障通知，所以当时没发现风机故障。</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36" w:lineRule="exact"/>
        <w:ind w:firstLine="640" w:firstLineChars="200"/>
        <w:jc w:val="both"/>
        <w:textAlignment w:val="auto"/>
        <w:rPr>
          <w:rFonts w:hint="eastAsia"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2.我单位实际产生有机废气机器和环评及批复不一致，现场实际有两条生产线，分别设置2套“UV光氧催化氧化+活性炭吸附”装置对有机废气进行收集处理，其中P1排气筒对应的有机处理装置收集北侧生产线18台注塑机产生的有机废气；P2排气筒对应的有机废气处理装置收集车间南侧生产线23台注塑机、1台印刷机产生的有机废气。我单位特别重视环境保护，每年都积极做废气、废水、噪音日常检测，从未有过超标排放情况。</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36" w:lineRule="exact"/>
        <w:ind w:firstLine="640" w:firstLineChars="200"/>
        <w:jc w:val="both"/>
        <w:textAlignment w:val="auto"/>
        <w:rPr>
          <w:rFonts w:hint="eastAsia"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3.我单位对管理人员进行批评教育，加强巡检，杜绝事件再次发生。请贵局看在现场实际情况和积极配合检查整改的态度从轻处罚，批评教育为主，希望从轻处罚。</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36" w:lineRule="exact"/>
        <w:ind w:firstLine="640" w:firstLineChars="200"/>
        <w:jc w:val="both"/>
        <w:textAlignment w:val="auto"/>
        <w:rPr>
          <w:rFonts w:hint="eastAsia" w:eastAsia="仿宋_GB2312"/>
          <w:color w:val="auto"/>
          <w:kern w:val="0"/>
          <w:sz w:val="32"/>
          <w:szCs w:val="32"/>
          <w:lang w:val="en-US" w:eastAsia="zh-CN"/>
        </w:rPr>
      </w:pPr>
      <w:r>
        <w:rPr>
          <w:rFonts w:eastAsia="仿宋_GB2312"/>
          <w:color w:val="auto"/>
          <w:kern w:val="0"/>
          <w:sz w:val="32"/>
          <w:szCs w:val="32"/>
        </w:rPr>
        <w:t>以上事实，有《天津市生态环境局行政处罚</w:t>
      </w:r>
      <w:r>
        <w:rPr>
          <w:rFonts w:hint="eastAsia" w:eastAsia="仿宋_GB2312"/>
          <w:color w:val="auto"/>
          <w:kern w:val="0"/>
          <w:sz w:val="32"/>
          <w:szCs w:val="32"/>
          <w:lang w:eastAsia="zh-CN"/>
        </w:rPr>
        <w:t>事先</w:t>
      </w:r>
      <w:r>
        <w:rPr>
          <w:rFonts w:eastAsia="仿宋_GB2312"/>
          <w:color w:val="auto"/>
          <w:kern w:val="0"/>
          <w:sz w:val="32"/>
          <w:szCs w:val="32"/>
        </w:rPr>
        <w:t>告知书》（津市环</w:t>
      </w:r>
      <w:r>
        <w:rPr>
          <w:rFonts w:hint="eastAsia" w:eastAsia="仿宋_GB2312"/>
          <w:color w:val="auto"/>
          <w:kern w:val="0"/>
          <w:sz w:val="32"/>
          <w:szCs w:val="32"/>
          <w:lang w:eastAsia="zh-CN"/>
        </w:rPr>
        <w:t>事</w:t>
      </w:r>
      <w:r>
        <w:rPr>
          <w:rFonts w:eastAsia="仿宋_GB2312"/>
          <w:color w:val="auto"/>
          <w:kern w:val="0"/>
          <w:sz w:val="32"/>
          <w:szCs w:val="32"/>
        </w:rPr>
        <w:t>告字〔20</w:t>
      </w:r>
      <w:r>
        <w:rPr>
          <w:rFonts w:hint="eastAsia" w:eastAsia="仿宋_GB2312"/>
          <w:color w:val="auto"/>
          <w:kern w:val="0"/>
          <w:sz w:val="32"/>
          <w:szCs w:val="32"/>
          <w:lang w:val="en-US" w:eastAsia="zh-CN"/>
        </w:rPr>
        <w:t>23</w:t>
      </w:r>
      <w:r>
        <w:rPr>
          <w:rFonts w:eastAsia="仿宋_GB2312"/>
          <w:color w:val="auto"/>
          <w:kern w:val="0"/>
          <w:sz w:val="32"/>
          <w:szCs w:val="32"/>
        </w:rPr>
        <w:t>〕</w:t>
      </w:r>
      <w:r>
        <w:rPr>
          <w:rFonts w:hint="eastAsia" w:eastAsia="仿宋_GB2312"/>
          <w:color w:val="auto"/>
          <w:kern w:val="0"/>
          <w:sz w:val="32"/>
          <w:szCs w:val="32"/>
          <w:lang w:val="en-US" w:eastAsia="zh-CN"/>
        </w:rPr>
        <w:t>66</w:t>
      </w:r>
      <w:r>
        <w:rPr>
          <w:rFonts w:eastAsia="仿宋_GB2312"/>
          <w:color w:val="auto"/>
          <w:kern w:val="0"/>
          <w:sz w:val="32"/>
          <w:szCs w:val="32"/>
        </w:rPr>
        <w:t>号）</w:t>
      </w:r>
      <w:r>
        <w:rPr>
          <w:rFonts w:hint="eastAsia" w:eastAsia="仿宋_GB2312"/>
          <w:color w:val="auto"/>
          <w:kern w:val="0"/>
          <w:sz w:val="32"/>
          <w:szCs w:val="32"/>
        </w:rPr>
        <w:t>及</w:t>
      </w:r>
      <w:r>
        <w:rPr>
          <w:rFonts w:hint="eastAsia" w:eastAsia="仿宋_GB2312"/>
          <w:color w:val="auto"/>
          <w:kern w:val="0"/>
          <w:sz w:val="32"/>
          <w:szCs w:val="32"/>
          <w:lang w:eastAsia="zh-CN"/>
        </w:rPr>
        <w:t>其</w:t>
      </w:r>
      <w:r>
        <w:rPr>
          <w:rFonts w:hint="eastAsia" w:eastAsia="仿宋_GB2312"/>
          <w:color w:val="auto"/>
          <w:kern w:val="0"/>
          <w:sz w:val="32"/>
          <w:szCs w:val="32"/>
        </w:rPr>
        <w:t>送达回证</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你单位于2023年7月7日提出的陈述申辩材料等证据为凭。</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36" w:lineRule="exact"/>
        <w:ind w:firstLine="640" w:firstLineChars="200"/>
        <w:jc w:val="both"/>
        <w:textAlignment w:val="auto"/>
        <w:rPr>
          <w:rFonts w:hint="default" w:eastAsia="仿宋_GB2312"/>
          <w:color w:val="auto"/>
          <w:kern w:val="0"/>
          <w:sz w:val="32"/>
          <w:szCs w:val="32"/>
          <w:lang w:val="en-US" w:eastAsia="zh-CN"/>
        </w:rPr>
      </w:pPr>
      <w:r>
        <w:rPr>
          <w:rFonts w:hint="eastAsia" w:eastAsia="仿宋_GB2312"/>
          <w:color w:val="auto"/>
          <w:kern w:val="0"/>
          <w:sz w:val="32"/>
          <w:szCs w:val="32"/>
          <w:lang w:val="en-US" w:eastAsia="zh-CN"/>
        </w:rPr>
        <w:t>经集体审议研究，你单位提出的陈述申辩意见不影响对本案违法事实的认定，但是充分考虑到你单位积极整改情况及疫情对企业生产经营产生的负面影响，部分采纳你单位陈述申辩意见，决定对你单位从轻处罚。</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36" w:lineRule="exact"/>
        <w:ind w:firstLine="640" w:firstLineChars="200"/>
        <w:jc w:val="both"/>
        <w:textAlignment w:val="auto"/>
        <w:rPr>
          <w:rFonts w:eastAsia="黑体"/>
          <w:color w:val="auto"/>
          <w:kern w:val="0"/>
          <w:sz w:val="32"/>
          <w:szCs w:val="32"/>
        </w:rPr>
      </w:pPr>
      <w:r>
        <w:rPr>
          <w:rFonts w:eastAsia="黑体"/>
          <w:color w:val="auto"/>
          <w:kern w:val="0"/>
          <w:sz w:val="32"/>
          <w:szCs w:val="32"/>
        </w:rPr>
        <w:t>二、</w:t>
      </w:r>
      <w:r>
        <w:rPr>
          <w:rFonts w:hint="eastAsia" w:eastAsia="黑体"/>
          <w:color w:val="auto"/>
          <w:kern w:val="0"/>
          <w:sz w:val="32"/>
          <w:szCs w:val="32"/>
        </w:rPr>
        <w:t>责令改正和行政处罚的依据、种类</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36" w:lineRule="exact"/>
        <w:ind w:firstLine="640" w:firstLineChars="200"/>
        <w:jc w:val="both"/>
        <w:textAlignment w:val="auto"/>
        <w:rPr>
          <w:rFonts w:hint="eastAsia" w:eastAsia="仿宋_GB2312"/>
          <w:color w:val="auto"/>
          <w:kern w:val="0"/>
          <w:sz w:val="32"/>
          <w:szCs w:val="32"/>
          <w:lang w:eastAsia="zh-CN"/>
        </w:rPr>
      </w:pPr>
      <w:r>
        <w:rPr>
          <w:rFonts w:eastAsia="仿宋_GB2312"/>
          <w:color w:val="auto"/>
          <w:kern w:val="0"/>
          <w:sz w:val="32"/>
          <w:szCs w:val="32"/>
        </w:rPr>
        <w:t>依据</w:t>
      </w:r>
      <w:r>
        <w:rPr>
          <w:rFonts w:hint="eastAsia" w:eastAsia="仿宋_GB2312"/>
          <w:color w:val="auto"/>
          <w:kern w:val="0"/>
          <w:sz w:val="32"/>
          <w:szCs w:val="32"/>
          <w:lang w:val="en-US" w:eastAsia="zh-CN"/>
        </w:rPr>
        <w:t>《中华人民共和国大气污染防治法》第一百零八条第（一）项</w:t>
      </w:r>
      <w:r>
        <w:rPr>
          <w:rFonts w:hint="eastAsia" w:eastAsia="仿宋_GB2312"/>
          <w:color w:val="auto"/>
          <w:kern w:val="0"/>
          <w:sz w:val="32"/>
          <w:szCs w:val="32"/>
        </w:rPr>
        <w:t>的</w:t>
      </w:r>
      <w:r>
        <w:rPr>
          <w:rFonts w:eastAsia="仿宋_GB2312"/>
          <w:color w:val="auto"/>
          <w:kern w:val="0"/>
          <w:sz w:val="32"/>
          <w:szCs w:val="32"/>
        </w:rPr>
        <w:t>规定</w:t>
      </w:r>
      <w:r>
        <w:rPr>
          <w:rFonts w:hint="eastAsia" w:eastAsia="仿宋_GB2312"/>
          <w:color w:val="auto"/>
          <w:kern w:val="0"/>
          <w:sz w:val="32"/>
          <w:szCs w:val="32"/>
          <w:lang w:eastAsia="zh-CN"/>
        </w:rPr>
        <w:t>，我局：</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36" w:lineRule="exact"/>
        <w:ind w:firstLine="640" w:firstLineChars="200"/>
        <w:jc w:val="both"/>
        <w:textAlignment w:val="auto"/>
        <w:rPr>
          <w:rFonts w:hint="eastAsia" w:eastAsia="仿宋_GB2312"/>
          <w:color w:val="auto"/>
          <w:kern w:val="0"/>
          <w:sz w:val="32"/>
          <w:szCs w:val="32"/>
          <w:lang w:eastAsia="zh-CN"/>
        </w:rPr>
      </w:pPr>
      <w:r>
        <w:rPr>
          <w:rFonts w:eastAsia="仿宋_GB2312"/>
          <w:color w:val="auto"/>
          <w:kern w:val="0"/>
          <w:sz w:val="32"/>
          <w:szCs w:val="32"/>
        </w:rPr>
        <w:t>1.</w:t>
      </w:r>
      <w:r>
        <w:rPr>
          <w:rFonts w:hint="eastAsia" w:eastAsia="仿宋_GB2312"/>
          <w:color w:val="auto"/>
          <w:sz w:val="32"/>
          <w:szCs w:val="32"/>
          <w:lang w:val="en-US" w:eastAsia="zh-CN"/>
        </w:rPr>
        <w:t>责令你单位立即改正违法行为；</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36" w:lineRule="exact"/>
        <w:ind w:firstLine="640" w:firstLineChars="200"/>
        <w:jc w:val="both"/>
        <w:textAlignment w:val="auto"/>
        <w:rPr>
          <w:rFonts w:eastAsia="仿宋_GB2312"/>
          <w:color w:val="auto"/>
          <w:kern w:val="0"/>
          <w:sz w:val="32"/>
          <w:szCs w:val="32"/>
        </w:rPr>
      </w:pPr>
      <w:r>
        <w:rPr>
          <w:rFonts w:hint="eastAsia" w:eastAsia="仿宋_GB2312"/>
          <w:color w:val="auto"/>
          <w:kern w:val="0"/>
          <w:sz w:val="32"/>
          <w:szCs w:val="32"/>
        </w:rPr>
        <w:t>2</w:t>
      </w:r>
      <w:r>
        <w:rPr>
          <w:rFonts w:eastAsia="仿宋_GB2312"/>
          <w:color w:val="auto"/>
          <w:kern w:val="0"/>
          <w:sz w:val="32"/>
          <w:szCs w:val="32"/>
        </w:rPr>
        <w:t>.</w:t>
      </w:r>
      <w:r>
        <w:rPr>
          <w:rFonts w:hint="eastAsia" w:eastAsia="仿宋_GB2312"/>
          <w:color w:val="auto"/>
          <w:kern w:val="0"/>
          <w:sz w:val="32"/>
          <w:szCs w:val="32"/>
          <w:lang w:eastAsia="zh-CN"/>
        </w:rPr>
        <w:t>对你单位</w:t>
      </w:r>
      <w:r>
        <w:rPr>
          <w:rFonts w:eastAsia="仿宋_GB2312"/>
          <w:color w:val="auto"/>
          <w:kern w:val="0"/>
          <w:sz w:val="32"/>
          <w:szCs w:val="32"/>
        </w:rPr>
        <w:t>处罚款</w:t>
      </w:r>
      <w:r>
        <w:rPr>
          <w:rFonts w:hint="eastAsia" w:eastAsia="仿宋_GB2312"/>
          <w:color w:val="auto"/>
          <w:kern w:val="0"/>
          <w:sz w:val="32"/>
          <w:szCs w:val="32"/>
          <w:lang w:val="en-US" w:eastAsia="zh-CN"/>
        </w:rPr>
        <w:t>二万五千</w:t>
      </w:r>
      <w:r>
        <w:rPr>
          <w:rFonts w:eastAsia="仿宋_GB2312"/>
          <w:color w:val="auto"/>
          <w:kern w:val="0"/>
          <w:sz w:val="32"/>
          <w:szCs w:val="32"/>
        </w:rPr>
        <w:t>元。</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36" w:lineRule="exact"/>
        <w:ind w:firstLine="640" w:firstLineChars="200"/>
        <w:jc w:val="both"/>
        <w:textAlignment w:val="auto"/>
        <w:rPr>
          <w:rFonts w:eastAsia="黑体"/>
          <w:color w:val="auto"/>
          <w:kern w:val="0"/>
          <w:sz w:val="32"/>
          <w:szCs w:val="32"/>
        </w:rPr>
      </w:pPr>
      <w:r>
        <w:rPr>
          <w:rFonts w:eastAsia="黑体"/>
          <w:color w:val="auto"/>
          <w:kern w:val="0"/>
          <w:sz w:val="32"/>
          <w:szCs w:val="32"/>
        </w:rPr>
        <w:t>三、</w:t>
      </w:r>
      <w:r>
        <w:rPr>
          <w:rFonts w:hint="eastAsia" w:eastAsia="黑体"/>
          <w:color w:val="auto"/>
          <w:kern w:val="0"/>
          <w:sz w:val="32"/>
          <w:szCs w:val="32"/>
        </w:rPr>
        <w:t>责令改正和</w:t>
      </w:r>
      <w:r>
        <w:rPr>
          <w:rFonts w:eastAsia="黑体"/>
          <w:color w:val="auto"/>
          <w:kern w:val="0"/>
          <w:sz w:val="32"/>
          <w:szCs w:val="32"/>
        </w:rPr>
        <w:t>处罚决定的履行方式和期限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36" w:lineRule="exact"/>
        <w:ind w:firstLine="640" w:firstLineChars="200"/>
        <w:jc w:val="both"/>
        <w:textAlignment w:val="auto"/>
        <w:rPr>
          <w:rFonts w:ascii="楷体" w:hAnsi="楷体" w:eastAsia="楷体"/>
          <w:color w:val="auto"/>
          <w:kern w:val="0"/>
          <w:sz w:val="32"/>
          <w:szCs w:val="32"/>
        </w:rPr>
      </w:pPr>
      <w:r>
        <w:rPr>
          <w:rFonts w:ascii="楷体" w:hAnsi="楷体" w:eastAsia="楷体"/>
          <w:color w:val="auto"/>
          <w:kern w:val="0"/>
          <w:sz w:val="32"/>
          <w:szCs w:val="32"/>
        </w:rPr>
        <w:t>（一）关于责令改正的履行方式和期限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36"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你单位应于接到本</w:t>
      </w:r>
      <w:r>
        <w:rPr>
          <w:rFonts w:hint="eastAsia" w:eastAsia="仿宋_GB2312"/>
          <w:color w:val="auto"/>
          <w:kern w:val="0"/>
          <w:sz w:val="32"/>
          <w:szCs w:val="32"/>
          <w:lang w:val="en-US" w:eastAsia="zh-CN"/>
        </w:rPr>
        <w:t>处罚</w:t>
      </w:r>
      <w:r>
        <w:rPr>
          <w:rFonts w:eastAsia="仿宋_GB2312"/>
          <w:color w:val="auto"/>
          <w:kern w:val="0"/>
          <w:sz w:val="32"/>
          <w:szCs w:val="32"/>
        </w:rPr>
        <w:t>决定书之日起</w:t>
      </w:r>
      <w:r>
        <w:rPr>
          <w:rFonts w:hint="eastAsia" w:eastAsia="仿宋_GB2312"/>
          <w:color w:val="auto"/>
          <w:kern w:val="0"/>
          <w:sz w:val="32"/>
          <w:szCs w:val="32"/>
          <w:lang w:val="en-US" w:eastAsia="zh-CN"/>
        </w:rPr>
        <w:t>立即</w:t>
      </w:r>
      <w:r>
        <w:rPr>
          <w:rFonts w:eastAsia="仿宋_GB2312"/>
          <w:color w:val="auto"/>
          <w:kern w:val="0"/>
          <w:sz w:val="32"/>
          <w:szCs w:val="32"/>
        </w:rPr>
        <w:t>改正违法行为</w:t>
      </w:r>
      <w:r>
        <w:rPr>
          <w:rFonts w:hint="eastAsia" w:eastAsia="仿宋_GB2312"/>
          <w:color w:val="auto"/>
          <w:kern w:val="0"/>
          <w:sz w:val="32"/>
          <w:szCs w:val="32"/>
          <w:lang w:eastAsia="zh-CN"/>
        </w:rPr>
        <w:t>，按照规定使用污染防治设施</w:t>
      </w:r>
      <w:r>
        <w:rPr>
          <w:rFonts w:eastAsia="仿宋_GB2312"/>
          <w:color w:val="auto"/>
          <w:kern w:val="0"/>
          <w:sz w:val="32"/>
          <w:szCs w:val="32"/>
        </w:rPr>
        <w:t>。</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36" w:lineRule="exact"/>
        <w:ind w:firstLine="640" w:firstLineChars="200"/>
        <w:jc w:val="both"/>
        <w:textAlignment w:val="auto"/>
        <w:rPr>
          <w:rFonts w:ascii="楷体" w:hAnsi="楷体" w:eastAsia="楷体"/>
          <w:color w:val="auto"/>
          <w:kern w:val="0"/>
          <w:sz w:val="32"/>
          <w:szCs w:val="32"/>
        </w:rPr>
      </w:pPr>
      <w:r>
        <w:rPr>
          <w:rFonts w:ascii="楷体" w:hAnsi="楷体" w:eastAsia="楷体"/>
          <w:color w:val="auto"/>
          <w:kern w:val="0"/>
          <w:sz w:val="32"/>
          <w:szCs w:val="32"/>
        </w:rPr>
        <w:t>（二）关于</w:t>
      </w:r>
      <w:r>
        <w:rPr>
          <w:rFonts w:hint="eastAsia" w:ascii="楷体" w:hAnsi="楷体" w:eastAsia="楷体"/>
          <w:color w:val="auto"/>
          <w:kern w:val="0"/>
          <w:sz w:val="32"/>
          <w:szCs w:val="32"/>
          <w:lang w:eastAsia="zh-CN"/>
        </w:rPr>
        <w:t>处罚决定</w:t>
      </w:r>
      <w:r>
        <w:rPr>
          <w:rFonts w:ascii="楷体" w:hAnsi="楷体" w:eastAsia="楷体"/>
          <w:color w:val="auto"/>
          <w:kern w:val="0"/>
          <w:sz w:val="32"/>
          <w:szCs w:val="32"/>
        </w:rPr>
        <w:t>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36" w:lineRule="exact"/>
        <w:ind w:firstLine="640" w:firstLineChars="200"/>
        <w:jc w:val="both"/>
        <w:textAlignment w:val="auto"/>
        <w:rPr>
          <w:rFonts w:eastAsia="仿宋_GB2312"/>
          <w:color w:val="auto"/>
          <w:kern w:val="0"/>
          <w:sz w:val="32"/>
          <w:szCs w:val="32"/>
        </w:rPr>
      </w:pPr>
      <w:r>
        <w:rPr>
          <w:rFonts w:hint="eastAsia" w:eastAsia="仿宋_GB2312"/>
          <w:color w:val="auto"/>
          <w:kern w:val="0"/>
          <w:sz w:val="32"/>
          <w:szCs w:val="32"/>
        </w:rPr>
        <w:t>依据</w:t>
      </w:r>
      <w:r>
        <w:rPr>
          <w:rFonts w:eastAsia="仿宋_GB2312"/>
          <w:color w:val="auto"/>
          <w:kern w:val="0"/>
          <w:sz w:val="32"/>
          <w:szCs w:val="32"/>
        </w:rPr>
        <w:t>《中华人民共和国行政处罚法》和《罚款决定与罚款收缴分离实施办法》的规定，你单位应于接到本处罚决定书之日起十五日内，到我局领取</w:t>
      </w:r>
      <w:r>
        <w:rPr>
          <w:rFonts w:hint="eastAsia" w:eastAsia="仿宋_GB2312"/>
          <w:color w:val="auto"/>
          <w:kern w:val="0"/>
          <w:sz w:val="32"/>
          <w:szCs w:val="32"/>
        </w:rPr>
        <w:t>《非税收入统一缴款书（缴款通知书）》</w:t>
      </w:r>
      <w:r>
        <w:rPr>
          <w:rFonts w:eastAsia="仿宋_GB2312"/>
          <w:color w:val="auto"/>
          <w:kern w:val="0"/>
          <w:sz w:val="32"/>
          <w:szCs w:val="32"/>
        </w:rPr>
        <w:t>并缴至指定银行。</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36"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你单位逾期不缴纳罚款的，我局</w:t>
      </w:r>
      <w:r>
        <w:rPr>
          <w:rFonts w:hint="eastAsia" w:eastAsia="仿宋_GB2312"/>
          <w:color w:val="auto"/>
          <w:kern w:val="0"/>
          <w:sz w:val="32"/>
          <w:szCs w:val="32"/>
          <w:lang w:val="en-US" w:eastAsia="zh-CN"/>
        </w:rPr>
        <w:t>可以</w:t>
      </w:r>
      <w:r>
        <w:rPr>
          <w:rFonts w:eastAsia="仿宋_GB2312"/>
          <w:color w:val="auto"/>
          <w:kern w:val="0"/>
          <w:sz w:val="32"/>
          <w:szCs w:val="32"/>
        </w:rPr>
        <w:t>依法每日按罚款数额的3%加处罚款。</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36" w:lineRule="exact"/>
        <w:ind w:firstLine="720" w:firstLineChars="225"/>
        <w:jc w:val="both"/>
        <w:textAlignment w:val="auto"/>
        <w:rPr>
          <w:rFonts w:eastAsia="黑体"/>
          <w:color w:val="auto"/>
          <w:kern w:val="0"/>
          <w:sz w:val="32"/>
          <w:szCs w:val="32"/>
          <w:u w:val="single"/>
        </w:rPr>
      </w:pPr>
      <w:r>
        <w:rPr>
          <w:rFonts w:eastAsia="黑体"/>
          <w:color w:val="auto"/>
          <w:kern w:val="0"/>
          <w:sz w:val="32"/>
          <w:szCs w:val="32"/>
        </w:rPr>
        <w:t xml:space="preserve">四、申请行政复议或者提起行政诉讼的途径和期限 </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36" w:lineRule="exact"/>
        <w:ind w:right="0" w:firstLine="640" w:firstLineChars="200"/>
        <w:jc w:val="both"/>
        <w:textAlignment w:val="auto"/>
        <w:rPr>
          <w:rFonts w:eastAsia="仿宋_GB2312"/>
          <w:color w:val="auto"/>
          <w:kern w:val="0"/>
          <w:sz w:val="32"/>
          <w:szCs w:val="32"/>
        </w:rPr>
      </w:pPr>
      <w:r>
        <w:rPr>
          <w:rFonts w:eastAsia="仿宋_GB2312"/>
          <w:color w:val="auto"/>
          <w:kern w:val="0"/>
          <w:sz w:val="32"/>
          <w:szCs w:val="32"/>
        </w:rPr>
        <w:t>如对本处罚决定不服，</w:t>
      </w:r>
      <w:r>
        <w:rPr>
          <w:rFonts w:hint="eastAsia" w:eastAsia="仿宋_GB2312"/>
          <w:color w:val="auto"/>
          <w:kern w:val="0"/>
          <w:sz w:val="32"/>
          <w:szCs w:val="32"/>
          <w:lang w:val="en-US" w:eastAsia="zh-CN"/>
        </w:rPr>
        <w:t>你单位</w:t>
      </w:r>
      <w:r>
        <w:rPr>
          <w:rFonts w:eastAsia="仿宋_GB2312"/>
          <w:color w:val="auto"/>
          <w:kern w:val="0"/>
          <w:sz w:val="32"/>
          <w:szCs w:val="32"/>
        </w:rPr>
        <w:t>可在收到本处罚决定书之日起</w:t>
      </w:r>
      <w:r>
        <w:rPr>
          <w:rFonts w:hint="eastAsia" w:eastAsia="仿宋_GB2312"/>
          <w:color w:val="auto"/>
          <w:kern w:val="0"/>
          <w:sz w:val="32"/>
          <w:szCs w:val="32"/>
          <w:lang w:val="en-US" w:eastAsia="zh-CN"/>
        </w:rPr>
        <w:t>60</w:t>
      </w:r>
      <w:r>
        <w:rPr>
          <w:rFonts w:eastAsia="仿宋_GB2312"/>
          <w:color w:val="auto"/>
          <w:kern w:val="0"/>
          <w:sz w:val="32"/>
          <w:szCs w:val="32"/>
        </w:rPr>
        <w:t>日内向中华人民共和国生态环境部或者天津市人民政府申请</w:t>
      </w:r>
      <w:r>
        <w:rPr>
          <w:rFonts w:hint="eastAsia" w:eastAsia="仿宋_GB2312"/>
          <w:color w:val="auto"/>
          <w:kern w:val="0"/>
          <w:sz w:val="32"/>
          <w:szCs w:val="32"/>
          <w:lang w:val="en-US" w:eastAsia="zh-CN"/>
        </w:rPr>
        <w:t>行政</w:t>
      </w:r>
      <w:r>
        <w:rPr>
          <w:rFonts w:eastAsia="仿宋_GB2312"/>
          <w:color w:val="auto"/>
          <w:kern w:val="0"/>
          <w:sz w:val="32"/>
          <w:szCs w:val="32"/>
        </w:rPr>
        <w:t>复议，也可在</w:t>
      </w:r>
      <w:r>
        <w:rPr>
          <w:rFonts w:hint="eastAsia" w:eastAsia="仿宋_GB2312"/>
          <w:color w:val="auto"/>
          <w:kern w:val="0"/>
          <w:sz w:val="32"/>
          <w:szCs w:val="32"/>
          <w:lang w:val="en-US" w:eastAsia="zh-CN"/>
        </w:rPr>
        <w:t>6</w:t>
      </w:r>
      <w:r>
        <w:rPr>
          <w:rFonts w:eastAsia="仿宋_GB2312"/>
          <w:color w:val="auto"/>
          <w:kern w:val="0"/>
          <w:sz w:val="32"/>
          <w:szCs w:val="32"/>
        </w:rPr>
        <w:t>个月内直接向天津铁路运输法院</w:t>
      </w:r>
      <w:r>
        <w:rPr>
          <w:rFonts w:hint="eastAsia" w:eastAsia="仿宋_GB2312"/>
          <w:color w:val="auto"/>
          <w:kern w:val="0"/>
          <w:sz w:val="32"/>
          <w:szCs w:val="32"/>
          <w:lang w:val="en-US" w:eastAsia="zh-CN"/>
        </w:rPr>
        <w:t>提起行政</w:t>
      </w:r>
      <w:r>
        <w:rPr>
          <w:rFonts w:eastAsia="仿宋_GB2312"/>
          <w:color w:val="auto"/>
          <w:kern w:val="0"/>
          <w:sz w:val="32"/>
          <w:szCs w:val="32"/>
        </w:rPr>
        <w:t>起诉。申请行政复议或者提起行政诉讼，不停止</w:t>
      </w:r>
      <w:r>
        <w:rPr>
          <w:rFonts w:hint="eastAsia" w:eastAsia="仿宋_GB2312"/>
          <w:color w:val="auto"/>
          <w:kern w:val="0"/>
          <w:sz w:val="32"/>
          <w:szCs w:val="32"/>
          <w:lang w:val="en-US" w:eastAsia="zh-CN"/>
        </w:rPr>
        <w:t>本</w:t>
      </w:r>
      <w:r>
        <w:rPr>
          <w:rFonts w:eastAsia="仿宋_GB2312"/>
          <w:color w:val="auto"/>
          <w:kern w:val="0"/>
          <w:sz w:val="32"/>
          <w:szCs w:val="32"/>
        </w:rPr>
        <w:t>行政处罚决定的执行。逾期不申请行政复议，不提起行政诉讼，又不履行本处罚决定的，我局将依法申请人民法院强制执行。</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36" w:lineRule="exact"/>
        <w:ind w:firstLine="640" w:firstLineChars="200"/>
        <w:jc w:val="both"/>
        <w:textAlignment w:val="auto"/>
        <w:rPr>
          <w:rFonts w:hint="eastAsia" w:eastAsia="黑体"/>
          <w:color w:val="auto"/>
          <w:kern w:val="0"/>
          <w:sz w:val="32"/>
          <w:szCs w:val="32"/>
          <w:lang w:val="en-US" w:eastAsia="zh-CN"/>
        </w:rPr>
      </w:pPr>
      <w:r>
        <w:rPr>
          <w:rFonts w:hint="eastAsia" w:eastAsia="黑体"/>
          <w:color w:val="auto"/>
          <w:kern w:val="0"/>
          <w:sz w:val="32"/>
          <w:szCs w:val="32"/>
          <w:lang w:val="en-US" w:eastAsia="zh-CN"/>
        </w:rPr>
        <w:t>五、信用中国网站信用修复</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36" w:lineRule="exact"/>
        <w:ind w:right="0" w:firstLine="640" w:firstLineChars="200"/>
        <w:jc w:val="both"/>
        <w:textAlignment w:val="auto"/>
        <w:rPr>
          <w:rFonts w:eastAsia="仿宋_GB2312"/>
          <w:color w:val="auto"/>
          <w:kern w:val="0"/>
          <w:sz w:val="32"/>
          <w:szCs w:val="32"/>
        </w:rPr>
      </w:pPr>
      <w:r>
        <w:rPr>
          <w:rFonts w:hint="eastAsia" w:ascii="Times New Roman" w:hAnsi="Times New Roman" w:eastAsia="仿宋_GB2312" w:cs="Times New Roman"/>
          <w:color w:val="auto"/>
          <w:kern w:val="0"/>
          <w:sz w:val="32"/>
          <w:szCs w:val="32"/>
          <w:lang w:val="en-US" w:eastAsia="zh-CN"/>
        </w:rPr>
        <w:t>你单位自觉履行本行政处罚决定内容满3个月，且经我局复查认定你单位完成上述违法行为整改工作后，你单位可注册、登录“信用中国（天津）”网站（https://credit.fzgg.tj.gov.cn/）企业信息查询页面自助办理行政处罚信用修复</w:t>
      </w:r>
      <w:r>
        <w:rPr>
          <w:rFonts w:hint="eastAsia" w:eastAsia="仿宋_GB2312" w:cs="Times New Roman"/>
          <w:color w:val="auto"/>
          <w:kern w:val="0"/>
          <w:sz w:val="32"/>
          <w:szCs w:val="32"/>
          <w:lang w:val="en-US" w:eastAsia="zh-CN"/>
        </w:rPr>
        <w:t>。</w:t>
      </w:r>
    </w:p>
    <w:p>
      <w:pPr>
        <w:keepNext w:val="0"/>
        <w:keepLines w:val="0"/>
        <w:pageBreakBefore w:val="0"/>
        <w:widowControl w:val="0"/>
        <w:tabs>
          <w:tab w:val="left" w:pos="5980"/>
          <w:tab w:val="left" w:pos="8460"/>
          <w:tab w:val="left" w:pos="9265"/>
        </w:tabs>
        <w:kinsoku/>
        <w:wordWrap/>
        <w:overflowPunct/>
        <w:topLinePunct w:val="0"/>
        <w:autoSpaceDE w:val="0"/>
        <w:autoSpaceDN w:val="0"/>
        <w:bidi w:val="0"/>
        <w:adjustRightInd w:val="0"/>
        <w:snapToGrid w:val="0"/>
        <w:spacing w:line="536" w:lineRule="exact"/>
        <w:ind w:right="0"/>
        <w:jc w:val="both"/>
        <w:textAlignment w:val="auto"/>
        <w:rPr>
          <w:rFonts w:eastAsia="仿宋_GB2312"/>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36" w:lineRule="exact"/>
        <w:ind w:right="960" w:rightChars="400" w:firstLine="5120" w:firstLineChars="1600"/>
        <w:jc w:val="both"/>
        <w:textAlignment w:val="auto"/>
        <w:rPr>
          <w:rFonts w:hint="eastAsia" w:eastAsia="仿宋_GB2312"/>
          <w:color w:val="auto"/>
          <w:kern w:val="0"/>
          <w:sz w:val="32"/>
          <w:szCs w:val="32"/>
          <w:lang w:val="en-US" w:eastAsia="zh-CN"/>
        </w:rPr>
      </w:pPr>
      <w:bookmarkStart w:id="4" w:name="PO_7_QianFaShiJian"/>
      <w:r>
        <w:rPr>
          <w:rFonts w:hint="eastAsia" w:eastAsia="仿宋_GB2312"/>
          <w:color w:val="auto"/>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36" w:lineRule="exact"/>
        <w:ind w:right="960" w:rightChars="400" w:firstLine="5120" w:firstLineChars="1600"/>
        <w:jc w:val="both"/>
        <w:textAlignment w:val="auto"/>
        <w:rPr>
          <w:rFonts w:eastAsia="仿宋_GB2312"/>
          <w:color w:val="auto"/>
          <w:kern w:val="0"/>
          <w:sz w:val="28"/>
          <w:szCs w:val="28"/>
        </w:rPr>
      </w:pPr>
      <w:bookmarkStart w:id="5" w:name="_GoBack"/>
      <w:bookmarkEnd w:id="5"/>
      <w:r>
        <w:rPr>
          <w:rFonts w:eastAsia="仿宋_GB2312"/>
          <w:color w:val="auto"/>
          <w:kern w:val="0"/>
          <w:sz w:val="32"/>
          <w:szCs w:val="32"/>
        </w:rPr>
        <w:t>20</w:t>
      </w:r>
      <w:r>
        <w:rPr>
          <w:rFonts w:hint="eastAsia" w:eastAsia="仿宋_GB2312"/>
          <w:color w:val="auto"/>
          <w:kern w:val="0"/>
          <w:sz w:val="32"/>
          <w:szCs w:val="32"/>
          <w:lang w:val="en-US" w:eastAsia="zh-CN"/>
        </w:rPr>
        <w:t>23</w:t>
      </w:r>
      <w:r>
        <w:rPr>
          <w:rFonts w:eastAsia="仿宋_GB2312"/>
          <w:color w:val="auto"/>
          <w:kern w:val="0"/>
          <w:sz w:val="32"/>
          <w:szCs w:val="32"/>
        </w:rPr>
        <w:t>年</w:t>
      </w:r>
      <w:r>
        <w:rPr>
          <w:rFonts w:hint="eastAsia" w:eastAsia="仿宋_GB2312"/>
          <w:color w:val="auto"/>
          <w:kern w:val="0"/>
          <w:sz w:val="32"/>
          <w:szCs w:val="32"/>
          <w:lang w:val="en-US" w:eastAsia="zh-CN"/>
        </w:rPr>
        <w:t>7</w:t>
      </w:r>
      <w:r>
        <w:rPr>
          <w:rFonts w:eastAsia="仿宋_GB2312"/>
          <w:color w:val="auto"/>
          <w:kern w:val="0"/>
          <w:sz w:val="32"/>
          <w:szCs w:val="32"/>
        </w:rPr>
        <w:t>月</w:t>
      </w:r>
      <w:bookmarkEnd w:id="4"/>
      <w:r>
        <w:rPr>
          <w:rFonts w:hint="eastAsia" w:eastAsia="仿宋_GB2312"/>
          <w:color w:val="auto"/>
          <w:kern w:val="0"/>
          <w:sz w:val="32"/>
          <w:szCs w:val="32"/>
          <w:lang w:val="en-US" w:eastAsia="zh-CN"/>
        </w:rPr>
        <w:t>24</w:t>
      </w:r>
      <w:r>
        <w:rPr>
          <w:rFonts w:eastAsia="仿宋_GB2312"/>
          <w:color w:val="auto"/>
          <w:kern w:val="0"/>
          <w:sz w:val="32"/>
          <w:szCs w:val="32"/>
        </w:rPr>
        <w:t>日</w:t>
      </w:r>
    </w:p>
    <w:p>
      <w:pPr>
        <w:keepNext w:val="0"/>
        <w:keepLines w:val="0"/>
        <w:pageBreakBefore w:val="0"/>
        <w:widowControl w:val="0"/>
        <w:tabs>
          <w:tab w:val="left" w:pos="9120"/>
        </w:tabs>
        <w:kinsoku/>
        <w:wordWrap/>
        <w:overflowPunct/>
        <w:topLinePunct w:val="0"/>
        <w:autoSpaceDE w:val="0"/>
        <w:autoSpaceDN w:val="0"/>
        <w:bidi w:val="0"/>
        <w:adjustRightInd w:val="0"/>
        <w:spacing w:line="536" w:lineRule="exact"/>
        <w:ind w:right="120"/>
        <w:textAlignment w:val="auto"/>
        <w:rPr>
          <w:rFonts w:eastAsia="仿宋_GB2312"/>
          <w:color w:val="auto"/>
          <w:kern w:val="0"/>
          <w:sz w:val="28"/>
          <w:szCs w:val="28"/>
        </w:rPr>
      </w:pPr>
      <w:r>
        <w:rPr>
          <w:rFonts w:eastAsia="仿宋_GB2312"/>
          <w:color w:val="auto"/>
          <w:kern w:val="0"/>
          <w:sz w:val="28"/>
          <w:szCs w:val="28"/>
        </w:rPr>
        <w:t>注：此文书一式</w:t>
      </w:r>
      <w:r>
        <w:rPr>
          <w:rFonts w:hint="eastAsia" w:eastAsia="仿宋_GB2312"/>
          <w:color w:val="auto"/>
          <w:kern w:val="0"/>
          <w:sz w:val="28"/>
          <w:szCs w:val="28"/>
          <w:lang w:val="en-US" w:eastAsia="zh-CN"/>
        </w:rPr>
        <w:t>三</w:t>
      </w:r>
      <w:r>
        <w:rPr>
          <w:rFonts w:eastAsia="仿宋_GB2312"/>
          <w:color w:val="auto"/>
          <w:kern w:val="0"/>
          <w:sz w:val="28"/>
          <w:szCs w:val="28"/>
        </w:rPr>
        <w:t>份，</w:t>
      </w:r>
      <w:r>
        <w:rPr>
          <w:rFonts w:hint="eastAsia" w:eastAsia="仿宋_GB2312"/>
          <w:color w:val="auto"/>
          <w:kern w:val="0"/>
          <w:sz w:val="28"/>
          <w:szCs w:val="28"/>
          <w:lang w:val="en-US" w:eastAsia="zh-CN"/>
        </w:rPr>
        <w:t>二</w:t>
      </w:r>
      <w:r>
        <w:rPr>
          <w:rFonts w:eastAsia="仿宋_GB2312"/>
          <w:color w:val="auto"/>
          <w:kern w:val="0"/>
          <w:sz w:val="28"/>
          <w:szCs w:val="28"/>
        </w:rPr>
        <w:t>份归档，一份送达。</w:t>
      </w:r>
    </w:p>
    <w:sectPr>
      <w:headerReference r:id="rId3" w:type="default"/>
      <w:footerReference r:id="rId5" w:type="default"/>
      <w:headerReference r:id="rId4" w:type="even"/>
      <w:pgSz w:w="11907" w:h="16840" w:orient="landscape"/>
      <w:pgMar w:top="2098" w:right="1474" w:bottom="1985" w:left="158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4"/>
      <w:isLgl/>
      <w:lvlText w:val="%1.%2"/>
      <w:lvlJc w:val="left"/>
      <w:pPr>
        <w:tabs>
          <w:tab w:val="left" w:pos="576"/>
        </w:tabs>
        <w:ind w:left="576" w:hanging="576"/>
      </w:pPr>
      <w:rPr>
        <w:rFonts w:hint="eastAsia"/>
      </w:rPr>
    </w:lvl>
    <w:lvl w:ilvl="2" w:tentative="0">
      <w:start w:val="1"/>
      <w:numFmt w:val="decimal"/>
      <w:pStyle w:val="5"/>
      <w:isLgl/>
      <w:lvlText w:val="%1.%2.%3"/>
      <w:lvlJc w:val="left"/>
      <w:pPr>
        <w:tabs>
          <w:tab w:val="left" w:pos="720"/>
        </w:tabs>
        <w:ind w:left="720" w:hanging="720"/>
      </w:pPr>
      <w:rPr>
        <w:rFonts w:hint="eastAsia"/>
      </w:rPr>
    </w:lvl>
    <w:lvl w:ilvl="3" w:tentative="0">
      <w:start w:val="1"/>
      <w:numFmt w:val="decimal"/>
      <w:pStyle w:val="6"/>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3"/>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ZGY3YWJhNWE4NTE5YzZjNTNlNGUxM2ZjZjEwOGYifQ=="/>
  </w:docVars>
  <w:rsids>
    <w:rsidRoot w:val="78B6471C"/>
    <w:rsid w:val="00010AA6"/>
    <w:rsid w:val="000204AC"/>
    <w:rsid w:val="00043334"/>
    <w:rsid w:val="000657F1"/>
    <w:rsid w:val="0009025B"/>
    <w:rsid w:val="00095A17"/>
    <w:rsid w:val="000D6F4A"/>
    <w:rsid w:val="000E35AD"/>
    <w:rsid w:val="0010341C"/>
    <w:rsid w:val="00121857"/>
    <w:rsid w:val="0013098D"/>
    <w:rsid w:val="0013559F"/>
    <w:rsid w:val="00140468"/>
    <w:rsid w:val="00152183"/>
    <w:rsid w:val="00157F83"/>
    <w:rsid w:val="00173A1F"/>
    <w:rsid w:val="00177446"/>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92BE0"/>
    <w:rsid w:val="002D34A1"/>
    <w:rsid w:val="002E443D"/>
    <w:rsid w:val="003057A3"/>
    <w:rsid w:val="0033687D"/>
    <w:rsid w:val="00343837"/>
    <w:rsid w:val="00353614"/>
    <w:rsid w:val="003658E2"/>
    <w:rsid w:val="003A15F8"/>
    <w:rsid w:val="003A1FCB"/>
    <w:rsid w:val="003B1577"/>
    <w:rsid w:val="003C05F1"/>
    <w:rsid w:val="003C45C3"/>
    <w:rsid w:val="003C4CF8"/>
    <w:rsid w:val="003D74C6"/>
    <w:rsid w:val="003E1E96"/>
    <w:rsid w:val="003E474C"/>
    <w:rsid w:val="003F2EA1"/>
    <w:rsid w:val="00417624"/>
    <w:rsid w:val="00432C4D"/>
    <w:rsid w:val="00450E93"/>
    <w:rsid w:val="004903BE"/>
    <w:rsid w:val="0049236B"/>
    <w:rsid w:val="004C43A3"/>
    <w:rsid w:val="004D7091"/>
    <w:rsid w:val="00501456"/>
    <w:rsid w:val="00506453"/>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F2FE7"/>
    <w:rsid w:val="00845722"/>
    <w:rsid w:val="00850EF1"/>
    <w:rsid w:val="008778D2"/>
    <w:rsid w:val="008874CB"/>
    <w:rsid w:val="00895089"/>
    <w:rsid w:val="008A66F0"/>
    <w:rsid w:val="008B4839"/>
    <w:rsid w:val="008B6497"/>
    <w:rsid w:val="008E0B8C"/>
    <w:rsid w:val="008F1113"/>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02D8"/>
    <w:rsid w:val="00A85133"/>
    <w:rsid w:val="00A8786C"/>
    <w:rsid w:val="00AC5186"/>
    <w:rsid w:val="00AD0BD6"/>
    <w:rsid w:val="00AF21E9"/>
    <w:rsid w:val="00AF2C63"/>
    <w:rsid w:val="00B1113A"/>
    <w:rsid w:val="00B13545"/>
    <w:rsid w:val="00B51CAA"/>
    <w:rsid w:val="00B56F69"/>
    <w:rsid w:val="00B571CE"/>
    <w:rsid w:val="00B65A78"/>
    <w:rsid w:val="00B77FEE"/>
    <w:rsid w:val="00BA1433"/>
    <w:rsid w:val="00BB3134"/>
    <w:rsid w:val="00BC39CE"/>
    <w:rsid w:val="00BE12F0"/>
    <w:rsid w:val="00BF19BB"/>
    <w:rsid w:val="00BF6CF7"/>
    <w:rsid w:val="00C04BE9"/>
    <w:rsid w:val="00C055CB"/>
    <w:rsid w:val="00C0653B"/>
    <w:rsid w:val="00C167DA"/>
    <w:rsid w:val="00C1784D"/>
    <w:rsid w:val="00C47953"/>
    <w:rsid w:val="00C607DE"/>
    <w:rsid w:val="00C727FA"/>
    <w:rsid w:val="00C75797"/>
    <w:rsid w:val="00C94F4E"/>
    <w:rsid w:val="00CA0F93"/>
    <w:rsid w:val="00CC125D"/>
    <w:rsid w:val="00D056EC"/>
    <w:rsid w:val="00D063E3"/>
    <w:rsid w:val="00D1024B"/>
    <w:rsid w:val="00D13861"/>
    <w:rsid w:val="00D15117"/>
    <w:rsid w:val="00D21D1B"/>
    <w:rsid w:val="00D26915"/>
    <w:rsid w:val="00D2707E"/>
    <w:rsid w:val="00D31EDD"/>
    <w:rsid w:val="00D71E35"/>
    <w:rsid w:val="00D936DC"/>
    <w:rsid w:val="00D95AE8"/>
    <w:rsid w:val="00DA3404"/>
    <w:rsid w:val="00DA5D19"/>
    <w:rsid w:val="00DE1676"/>
    <w:rsid w:val="00DF22E2"/>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674B8"/>
    <w:rsid w:val="00F73398"/>
    <w:rsid w:val="00F97257"/>
    <w:rsid w:val="00FA0003"/>
    <w:rsid w:val="00FA2B76"/>
    <w:rsid w:val="00FB25AA"/>
    <w:rsid w:val="00FB4879"/>
    <w:rsid w:val="00FC14FB"/>
    <w:rsid w:val="00FD09D1"/>
    <w:rsid w:val="00FE5FB8"/>
    <w:rsid w:val="04564EA5"/>
    <w:rsid w:val="047D7869"/>
    <w:rsid w:val="04CF2504"/>
    <w:rsid w:val="075524D7"/>
    <w:rsid w:val="07B93B0C"/>
    <w:rsid w:val="08A676E1"/>
    <w:rsid w:val="09114283"/>
    <w:rsid w:val="0BEA4C5E"/>
    <w:rsid w:val="0CA93C16"/>
    <w:rsid w:val="14A22454"/>
    <w:rsid w:val="173B33C8"/>
    <w:rsid w:val="1A3F25F1"/>
    <w:rsid w:val="1B552996"/>
    <w:rsid w:val="1BB8168D"/>
    <w:rsid w:val="1BC26D67"/>
    <w:rsid w:val="1CC54CEB"/>
    <w:rsid w:val="1F6A3919"/>
    <w:rsid w:val="2378242F"/>
    <w:rsid w:val="25735D76"/>
    <w:rsid w:val="26162D5B"/>
    <w:rsid w:val="27FC4468"/>
    <w:rsid w:val="2ABE5B1A"/>
    <w:rsid w:val="2CBF39D4"/>
    <w:rsid w:val="2E2D1CD7"/>
    <w:rsid w:val="2E7E4B4C"/>
    <w:rsid w:val="2F096FCE"/>
    <w:rsid w:val="312C04D9"/>
    <w:rsid w:val="3B545505"/>
    <w:rsid w:val="3BA70B39"/>
    <w:rsid w:val="3C7636AF"/>
    <w:rsid w:val="3E516742"/>
    <w:rsid w:val="42BA1DF9"/>
    <w:rsid w:val="442F10A5"/>
    <w:rsid w:val="46843426"/>
    <w:rsid w:val="473A0DD5"/>
    <w:rsid w:val="47C66189"/>
    <w:rsid w:val="4966744D"/>
    <w:rsid w:val="4A263D9A"/>
    <w:rsid w:val="4CA7559F"/>
    <w:rsid w:val="4D6435C2"/>
    <w:rsid w:val="4DF56AA7"/>
    <w:rsid w:val="51935037"/>
    <w:rsid w:val="521C5B03"/>
    <w:rsid w:val="53767495"/>
    <w:rsid w:val="5794182D"/>
    <w:rsid w:val="586D4E7F"/>
    <w:rsid w:val="5A4853C7"/>
    <w:rsid w:val="5B5C731D"/>
    <w:rsid w:val="5C9F4A39"/>
    <w:rsid w:val="5DD022F3"/>
    <w:rsid w:val="5DF1558E"/>
    <w:rsid w:val="5EC8235B"/>
    <w:rsid w:val="5ECD3BB6"/>
    <w:rsid w:val="61787F41"/>
    <w:rsid w:val="63EC73E1"/>
    <w:rsid w:val="65465834"/>
    <w:rsid w:val="6AEC59B8"/>
    <w:rsid w:val="6B1F7E37"/>
    <w:rsid w:val="6C1C590D"/>
    <w:rsid w:val="70AC3779"/>
    <w:rsid w:val="71F76391"/>
    <w:rsid w:val="743631A3"/>
    <w:rsid w:val="759748AE"/>
    <w:rsid w:val="76716923"/>
    <w:rsid w:val="76A05966"/>
    <w:rsid w:val="7776441B"/>
    <w:rsid w:val="78B6471C"/>
    <w:rsid w:val="78D17E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4">
    <w:name w:val="heading 2"/>
    <w:basedOn w:val="1"/>
    <w:next w:val="1"/>
    <w:qFormat/>
    <w:uiPriority w:val="0"/>
    <w:pPr>
      <w:keepNext/>
      <w:keepLines/>
      <w:numPr>
        <w:ilvl w:val="1"/>
        <w:numId w:val="2"/>
      </w:numPr>
      <w:spacing w:before="160" w:after="160" w:line="440" w:lineRule="atLeast"/>
      <w:outlineLvl w:val="1"/>
    </w:pPr>
    <w:rPr>
      <w:b/>
      <w:kern w:val="0"/>
      <w:sz w:val="32"/>
      <w:szCs w:val="20"/>
      <w14:shadow w14:blurRad="50800" w14:dist="38100" w14:dir="2700000" w14:sx="100000" w14:sy="100000" w14:kx="0" w14:ky="0" w14:algn="tl">
        <w14:srgbClr w14:val="000000">
          <w14:alpha w14:val="60000"/>
        </w14:srgbClr>
      </w14:shadow>
    </w:rPr>
  </w:style>
  <w:style w:type="paragraph" w:styleId="5">
    <w:name w:val="heading 3"/>
    <w:basedOn w:val="1"/>
    <w:next w:val="1"/>
    <w:qFormat/>
    <w:uiPriority w:val="0"/>
    <w:pPr>
      <w:keepNext/>
      <w:keepLines/>
      <w:numPr>
        <w:ilvl w:val="2"/>
        <w:numId w:val="2"/>
      </w:numPr>
      <w:spacing w:before="120" w:after="120" w:line="440" w:lineRule="atLeast"/>
      <w:outlineLvl w:val="2"/>
    </w:pPr>
    <w:rPr>
      <w:rFonts w:ascii="Garamond" w:hAnsi="Garamond"/>
      <w:b/>
      <w:kern w:val="0"/>
      <w:sz w:val="30"/>
      <w:szCs w:val="20"/>
      <w14:shadow w14:blurRad="50800" w14:dist="38100" w14:dir="2700000" w14:sx="100000" w14:sy="100000" w14:kx="0" w14:ky="0" w14:algn="tl">
        <w14:srgbClr w14:val="000000">
          <w14:alpha w14:val="60000"/>
        </w14:srgbClr>
      </w14:shadow>
    </w:rPr>
  </w:style>
  <w:style w:type="paragraph" w:styleId="6">
    <w:name w:val="heading 4"/>
    <w:basedOn w:val="1"/>
    <w:next w:val="1"/>
    <w:qFormat/>
    <w:uiPriority w:val="0"/>
    <w:pPr>
      <w:keepNext/>
      <w:keepLines/>
      <w:numPr>
        <w:ilvl w:val="3"/>
        <w:numId w:val="2"/>
      </w:numPr>
      <w:spacing w:before="160" w:after="100" w:line="440" w:lineRule="atLeast"/>
      <w:jc w:val="left"/>
      <w:outlineLvl w:val="3"/>
    </w:pPr>
    <w:rPr>
      <w:b/>
      <w:kern w:val="0"/>
      <w:sz w:val="28"/>
      <w:szCs w:val="20"/>
      <w14:shadow w14:blurRad="50800" w14:dist="38100" w14:dir="2700000" w14:sx="100000" w14:sy="100000" w14:kx="0" w14:ky="0" w14:algn="tl">
        <w14:srgbClr w14:val="000000">
          <w14:alpha w14:val="60000"/>
        </w14:srgbClr>
      </w14:shadow>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widowControl/>
      <w:spacing w:before="100" w:beforeAutospacing="1" w:after="100" w:afterAutospacing="1"/>
      <w:jc w:val="left"/>
    </w:pPr>
    <w:rPr>
      <w:rFonts w:ascii="宋体" w:hAnsi="宋体" w:cs="宋体"/>
    </w:rPr>
  </w:style>
  <w:style w:type="paragraph" w:styleId="7">
    <w:name w:val="Balloon Text"/>
    <w:basedOn w:val="1"/>
    <w:link w:val="13"/>
    <w:qFormat/>
    <w:uiPriority w:val="0"/>
    <w:rPr>
      <w:sz w:val="18"/>
      <w:szCs w:val="18"/>
    </w:rPr>
  </w:style>
  <w:style w:type="paragraph" w:styleId="8">
    <w:name w:val="footer"/>
    <w:basedOn w:val="1"/>
    <w:link w:val="14"/>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批注框文本 字符"/>
    <w:link w:val="7"/>
    <w:qFormat/>
    <w:uiPriority w:val="0"/>
    <w:rPr>
      <w:kern w:val="2"/>
      <w:sz w:val="18"/>
      <w:szCs w:val="18"/>
    </w:rPr>
  </w:style>
  <w:style w:type="character" w:customStyle="1" w:styleId="14">
    <w:name w:val="页脚 字符"/>
    <w:link w:val="8"/>
    <w:qFormat/>
    <w:uiPriority w:val="99"/>
    <w:rPr>
      <w:kern w:val="2"/>
      <w:sz w:val="18"/>
      <w:szCs w:val="18"/>
    </w:rPr>
  </w:style>
  <w:style w:type="paragraph" w:customStyle="1" w:styleId="15">
    <w:name w:val="封皮"/>
    <w:basedOn w:val="1"/>
    <w:qFormat/>
    <w:uiPriority w:val="0"/>
    <w:pPr>
      <w:jc w:val="center"/>
    </w:pPr>
    <w:rPr>
      <w:rFonts w:eastAsia="黑体"/>
      <w:b/>
      <w:sz w:val="7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4037;&#20316;&#25991;&#20214;&#22841;\&#24120;&#29992;&#25991;&#20070;&#27169;&#26495;\&#25191;&#27861;&#24635;&#38431;&#34892;&#25919;&#22788;&#32602;&#25991;&#20070;&#27169;&#26495;2022.4&#26356;&#26032;\&#34892;&#25919;&#22788;&#32602;&#20915;&#23450;&#20070;&#65288;&#26410;&#21548;&#35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行政处罚决定书（未听证）.dot</Template>
  <Pages>4</Pages>
  <Words>1868</Words>
  <Characters>2002</Characters>
  <Lines>8</Lines>
  <Paragraphs>2</Paragraphs>
  <TotalTime>1</TotalTime>
  <ScaleCrop>false</ScaleCrop>
  <LinksUpToDate>false</LinksUpToDate>
  <CharactersWithSpaces>2027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2022-05-24T07:12:00Z</dcterms:created>
  <dc:creator>唐大果果</dc:creator>
  <cp:lastModifiedBy>孙国力</cp:lastModifiedBy>
  <cp:lastPrinted>2023-07-24T07:58:00Z</cp:lastPrinted>
  <dcterms:modified xsi:type="dcterms:W3CDTF">2023-07-25T01:44:43Z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730E82EB171946218D567F6F085AA7F6</vt:lpwstr>
  </property>
</Properties>
</file>