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7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7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70" w:lineRule="exact"/>
        <w:ind w:right="-119"/>
        <w:jc w:val="both"/>
        <w:textAlignment w:val="auto"/>
        <w:rPr>
          <w:rFonts w:eastAsia="仿宋_GB2312"/>
          <w:color w:val="auto"/>
          <w:spacing w:val="1"/>
          <w:kern w:val="0"/>
          <w:position w:val="-2"/>
          <w:sz w:val="32"/>
          <w:szCs w:val="32"/>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70" w:lineRule="exact"/>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92</w:t>
      </w:r>
      <w:r>
        <w:rPr>
          <w:rFonts w:eastAsia="仿宋_GB2312"/>
          <w:color w:val="auto"/>
          <w:kern w:val="0"/>
          <w:position w:val="-2"/>
          <w:sz w:val="32"/>
          <w:szCs w:val="32"/>
        </w:rPr>
        <w:t>号</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570" w:lineRule="exact"/>
        <w:ind w:right="-119"/>
        <w:jc w:val="center"/>
        <w:textAlignment w:val="auto"/>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r>
        <w:rPr>
          <w:rFonts w:hint="eastAsia" w:eastAsia="仿宋_GB2312"/>
          <w:color w:val="auto"/>
          <w:kern w:val="0"/>
          <w:sz w:val="32"/>
          <w:szCs w:val="32"/>
          <w:lang w:val="en-US" w:eastAsia="zh-CN"/>
        </w:rPr>
        <w:t>天津赛丽邦石业有限公司</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70" w:lineRule="exact"/>
        <w:jc w:val="left"/>
        <w:textAlignment w:val="auto"/>
        <w:rPr>
          <w:rFonts w:eastAsia="仿宋_GB2312"/>
          <w:color w:val="auto"/>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91120224MA06HL5UXE</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70" w:lineRule="exact"/>
        <w:ind w:left="960" w:hanging="960" w:hangingChars="300"/>
        <w:jc w:val="left"/>
        <w:textAlignment w:val="auto"/>
        <w:rPr>
          <w:rFonts w:eastAsia="仿宋_GB2312"/>
          <w:color w:val="auto"/>
          <w:sz w:val="32"/>
          <w:szCs w:val="32"/>
        </w:rPr>
      </w:pPr>
      <w:r>
        <w:rPr>
          <w:rFonts w:eastAsia="仿宋_GB2312"/>
          <w:color w:val="auto"/>
          <w:kern w:val="0"/>
          <w:sz w:val="32"/>
          <w:szCs w:val="32"/>
        </w:rPr>
        <w:t>地址：</w:t>
      </w:r>
      <w:r>
        <w:rPr>
          <w:rFonts w:hint="eastAsia" w:eastAsia="仿宋_GB2312"/>
          <w:color w:val="auto"/>
          <w:kern w:val="0"/>
          <w:sz w:val="32"/>
          <w:szCs w:val="32"/>
          <w:lang w:val="en-US" w:eastAsia="zh-CN"/>
        </w:rPr>
        <w:t>天津宝坻九园工业园区京津石都宏星石材市场A区A207、A208号</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70" w:lineRule="exact"/>
        <w:jc w:val="left"/>
        <w:textAlignment w:val="auto"/>
        <w:rPr>
          <w:rFonts w:hint="eastAsia" w:eastAsia="仿宋_GB2312"/>
          <w:color w:val="auto"/>
          <w:kern w:val="0"/>
          <w:sz w:val="32"/>
          <w:szCs w:val="32"/>
          <w:lang w:val="en-US" w:eastAsia="zh-CN"/>
        </w:rPr>
      </w:pPr>
      <w:r>
        <w:rPr>
          <w:rFonts w:eastAsia="仿宋_GB2312"/>
          <w:color w:val="auto"/>
          <w:kern w:val="0"/>
          <w:sz w:val="32"/>
          <w:szCs w:val="32"/>
        </w:rPr>
        <w:t>法定代表人：</w:t>
      </w:r>
      <w:r>
        <w:rPr>
          <w:rFonts w:hint="eastAsia" w:eastAsia="仿宋_GB2312"/>
          <w:color w:val="auto"/>
          <w:kern w:val="0"/>
          <w:sz w:val="32"/>
          <w:szCs w:val="32"/>
          <w:lang w:val="en-US" w:eastAsia="zh-CN"/>
        </w:rPr>
        <w:t>高俊秋</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hint="eastAsia" w:eastAsia="仿宋_GB2312"/>
          <w:color w:val="auto"/>
          <w:kern w:val="0"/>
          <w:sz w:val="32"/>
          <w:szCs w:val="32"/>
          <w:lang w:val="en-US" w:eastAsia="zh-CN"/>
        </w:rPr>
      </w:pPr>
      <w:r>
        <w:rPr>
          <w:rFonts w:hint="eastAsia" w:eastAsia="仿宋_GB2312"/>
          <w:color w:val="auto"/>
          <w:kern w:val="0"/>
          <w:sz w:val="32"/>
          <w:szCs w:val="32"/>
        </w:rPr>
        <w:t>我局于</w:t>
      </w:r>
      <w:r>
        <w:rPr>
          <w:rFonts w:hint="eastAsia" w:eastAsia="仿宋_GB2312"/>
          <w:color w:val="auto"/>
          <w:kern w:val="0"/>
          <w:sz w:val="32"/>
          <w:szCs w:val="32"/>
          <w:lang w:val="en-US" w:eastAsia="zh-CN"/>
        </w:rPr>
        <w:t>2023</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3</w:t>
      </w:r>
      <w:r>
        <w:rPr>
          <w:rFonts w:eastAsia="仿宋_GB2312"/>
          <w:color w:val="auto"/>
          <w:kern w:val="0"/>
          <w:sz w:val="32"/>
          <w:szCs w:val="32"/>
        </w:rPr>
        <w:t>日对你单位进行了调查</w:t>
      </w:r>
      <w:r>
        <w:rPr>
          <w:rFonts w:hint="eastAsia" w:eastAsia="仿宋_GB2312"/>
          <w:color w:val="auto"/>
          <w:kern w:val="0"/>
          <w:sz w:val="32"/>
          <w:szCs w:val="32"/>
          <w:lang w:eastAsia="zh-CN"/>
        </w:rPr>
        <w:t>。你单位于</w:t>
      </w:r>
      <w:r>
        <w:rPr>
          <w:rFonts w:hint="eastAsia" w:eastAsia="仿宋_GB2312"/>
          <w:color w:val="auto"/>
          <w:kern w:val="0"/>
          <w:sz w:val="32"/>
          <w:szCs w:val="32"/>
          <w:lang w:val="en-US" w:eastAsia="zh-CN"/>
        </w:rPr>
        <w:t>2020年12月29日取得《排污许可证》（证书编号：91120224MA06HL5UXE001U），根据排污许可证中自行监测要求，你单位排放口DA001排放臭气浓度手工监测频次为1次/半年，厂界颗粒物手工监测频次为1次/半年，厂界臭气浓度、苯乙烯、非甲烷总烃手工监测频次为1次/年。</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lang w:val="en-US" w:eastAsia="zh-CN"/>
        </w:rPr>
        <w:t>经调查，</w:t>
      </w:r>
      <w:r>
        <w:rPr>
          <w:rFonts w:eastAsia="仿宋_GB2312"/>
          <w:color w:val="auto"/>
          <w:kern w:val="0"/>
          <w:sz w:val="32"/>
          <w:szCs w:val="32"/>
        </w:rPr>
        <w:t>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hint="eastAsia" w:eastAsia="仿宋_GB2312"/>
          <w:color w:val="auto"/>
          <w:kern w:val="0"/>
          <w:sz w:val="32"/>
          <w:szCs w:val="32"/>
          <w:lang w:val="en-US" w:eastAsia="zh-CN"/>
        </w:rPr>
      </w:pPr>
      <w:r>
        <w:rPr>
          <w:rFonts w:hint="eastAsia" w:eastAsia="仿宋_GB2312"/>
          <w:color w:val="auto"/>
          <w:kern w:val="0"/>
          <w:sz w:val="32"/>
          <w:szCs w:val="32"/>
          <w:lang w:eastAsia="zh-CN"/>
        </w:rPr>
        <w:t>现场检查时，你单位</w:t>
      </w:r>
      <w:r>
        <w:rPr>
          <w:rFonts w:hint="eastAsia" w:eastAsia="仿宋_GB2312"/>
          <w:color w:val="auto"/>
          <w:kern w:val="0"/>
          <w:sz w:val="32"/>
          <w:szCs w:val="32"/>
          <w:lang w:val="en-US" w:eastAsia="zh-CN"/>
        </w:rPr>
        <w:t>不能提供以下自行监测记录：2021年下半年排放口DA001排放的臭气浓度检测报告；2021年厂界臭气浓度、苯乙烯、非甲烷总烃检测报告；2022年上半年排放口DA001排放的臭气浓度检测报告；2022年上半年厂界颗粒物检测报告。</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eastAsia="仿宋_GB2312"/>
          <w:color w:val="auto"/>
          <w:sz w:val="32"/>
          <w:szCs w:val="32"/>
        </w:rPr>
      </w:pPr>
      <w:r>
        <w:rPr>
          <w:rFonts w:eastAsia="仿宋_GB2312"/>
          <w:color w:val="auto"/>
          <w:kern w:val="0"/>
          <w:sz w:val="32"/>
          <w:szCs w:val="32"/>
        </w:rPr>
        <w:t>以上事实，有《天津市生态环境局现场检查（勘察）笔录》《天津市生态环境局调查询问笔录》</w:t>
      </w:r>
      <w:r>
        <w:rPr>
          <w:rFonts w:hint="eastAsia" w:eastAsia="仿宋_GB2312"/>
          <w:color w:val="auto"/>
          <w:sz w:val="32"/>
          <w:szCs w:val="32"/>
        </w:rPr>
        <w:t>、</w:t>
      </w:r>
      <w:r>
        <w:rPr>
          <w:rFonts w:hint="eastAsia" w:eastAsia="仿宋_GB2312"/>
          <w:color w:val="auto"/>
          <w:sz w:val="32"/>
          <w:szCs w:val="32"/>
          <w:lang w:eastAsia="zh-CN"/>
        </w:rPr>
        <w:t>你单位</w:t>
      </w:r>
      <w:r>
        <w:rPr>
          <w:rFonts w:hint="eastAsia" w:ascii="仿宋" w:hAnsi="仿宋" w:eastAsia="仿宋" w:cs="仿宋"/>
          <w:i w:val="0"/>
          <w:caps w:val="0"/>
          <w:color w:val="auto"/>
          <w:spacing w:val="0"/>
          <w:sz w:val="32"/>
          <w:szCs w:val="32"/>
          <w:shd w:val="clear" w:color="auto" w:fill="auto"/>
          <w:lang w:val="en-US" w:eastAsia="zh-CN"/>
        </w:rPr>
        <w:t>《排污许可证副本》（证书编号：</w:t>
      </w:r>
      <w:r>
        <w:rPr>
          <w:rFonts w:hint="eastAsia" w:ascii="Times New Roman" w:hAnsi="Times New Roman" w:eastAsia="仿宋_GB2312" w:cs="Times New Roman"/>
          <w:color w:val="auto"/>
          <w:kern w:val="0"/>
          <w:sz w:val="32"/>
          <w:szCs w:val="32"/>
          <w:lang w:val="en-US" w:eastAsia="zh-CN"/>
        </w:rPr>
        <w:t>91120224MA06HL5UXE001U</w:t>
      </w:r>
      <w:r>
        <w:rPr>
          <w:rFonts w:hint="eastAsia" w:ascii="仿宋" w:hAnsi="仿宋" w:eastAsia="仿宋" w:cs="仿宋"/>
          <w:i w:val="0"/>
          <w:caps w:val="0"/>
          <w:color w:val="auto"/>
          <w:spacing w:val="0"/>
          <w:sz w:val="32"/>
          <w:szCs w:val="32"/>
          <w:shd w:val="clear" w:color="auto" w:fill="auto"/>
          <w:lang w:val="en-US" w:eastAsia="zh-CN"/>
        </w:rPr>
        <w:t>）、</w:t>
      </w:r>
      <w:r>
        <w:rPr>
          <w:rFonts w:hint="eastAsia" w:eastAsia="仿宋_GB2312"/>
          <w:color w:val="auto"/>
          <w:sz w:val="32"/>
          <w:szCs w:val="32"/>
          <w:lang w:eastAsia="zh-CN"/>
        </w:rPr>
        <w:t>你单位提供的部分《检测报告》、</w:t>
      </w:r>
      <w:r>
        <w:rPr>
          <w:rFonts w:eastAsia="仿宋_GB2312"/>
          <w:color w:val="auto"/>
          <w:sz w:val="32"/>
          <w:szCs w:val="32"/>
        </w:rPr>
        <w:t>现场拍摄的视频以及营业执照复印件等证据为凭。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《排污许可管理条例》第十九条第一款</w:t>
      </w:r>
      <w:r>
        <w:rPr>
          <w:rFonts w:eastAsia="仿宋_GB2312"/>
          <w:color w:val="auto"/>
          <w:sz w:val="32"/>
          <w:szCs w:val="32"/>
        </w:rPr>
        <w:t>的规定</w:t>
      </w:r>
      <w:r>
        <w:rPr>
          <w:rFonts w:hint="eastAsia" w:eastAsia="仿宋_GB2312"/>
          <w:color w:val="auto"/>
          <w:kern w:val="0"/>
          <w:sz w:val="32"/>
          <w:szCs w:val="32"/>
          <w:lang w:eastAsia="zh-CN"/>
        </w:rPr>
        <w:t>，</w:t>
      </w:r>
      <w:r>
        <w:rPr>
          <w:rFonts w:eastAsia="仿宋_GB2312"/>
          <w:color w:val="auto"/>
          <w:kern w:val="0"/>
          <w:sz w:val="32"/>
          <w:szCs w:val="32"/>
        </w:rPr>
        <w:t xml:space="preserve">依法应当予以处罚。 </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19</w:t>
      </w:r>
      <w:r>
        <w:rPr>
          <w:rFonts w:eastAsia="仿宋_GB2312"/>
          <w:color w:val="auto"/>
          <w:kern w:val="0"/>
          <w:sz w:val="32"/>
          <w:szCs w:val="32"/>
        </w:rPr>
        <w:t>日以《天津市生态环境局行政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53</w:t>
      </w:r>
      <w:r>
        <w:rPr>
          <w:rFonts w:eastAsia="仿宋_GB2312"/>
          <w:color w:val="auto"/>
          <w:kern w:val="0"/>
          <w:sz w:val="32"/>
          <w:szCs w:val="32"/>
        </w:rPr>
        <w:t>号），告知你单位违法事实、处罚依据和拟作出的处罚决定，并明确告知你单位有权进行陈述</w:t>
      </w:r>
      <w:r>
        <w:rPr>
          <w:rFonts w:hint="eastAsia" w:eastAsia="仿宋_GB2312"/>
          <w:color w:val="auto"/>
          <w:kern w:val="0"/>
          <w:sz w:val="32"/>
          <w:szCs w:val="32"/>
        </w:rPr>
        <w:t>、申辩</w:t>
      </w:r>
      <w:r>
        <w:rPr>
          <w:rFonts w:eastAsia="仿宋_GB2312"/>
          <w:color w:val="auto"/>
          <w:kern w:val="0"/>
          <w:sz w:val="32"/>
          <w:szCs w:val="32"/>
        </w:rPr>
        <w:t>。</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24</w:t>
      </w:r>
      <w:r>
        <w:rPr>
          <w:rFonts w:hint="eastAsia" w:eastAsia="仿宋_GB2312"/>
          <w:color w:val="auto"/>
          <w:kern w:val="0"/>
          <w:sz w:val="32"/>
          <w:szCs w:val="32"/>
        </w:rPr>
        <w:t>日向你单位送达上述文件，你单位于当日签收。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24</w:t>
      </w:r>
      <w:r>
        <w:rPr>
          <w:rFonts w:hint="eastAsia" w:eastAsia="仿宋_GB2312"/>
          <w:color w:val="auto"/>
          <w:kern w:val="0"/>
          <w:sz w:val="32"/>
          <w:szCs w:val="32"/>
        </w:rPr>
        <w:t>日，你单位向我局提交陈述申辩意见如下：</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hint="eastAsia" w:eastAsia="仿宋_GB2312"/>
          <w:color w:val="auto"/>
          <w:kern w:val="0"/>
          <w:sz w:val="32"/>
          <w:szCs w:val="32"/>
          <w:lang w:eastAsia="zh-CN"/>
        </w:rPr>
      </w:pPr>
      <w:r>
        <w:rPr>
          <w:rFonts w:hint="eastAsia" w:eastAsia="仿宋_GB2312"/>
          <w:color w:val="auto"/>
          <w:kern w:val="0"/>
          <w:sz w:val="32"/>
          <w:szCs w:val="32"/>
        </w:rPr>
        <w:t>1</w:t>
      </w:r>
      <w:r>
        <w:rPr>
          <w:rFonts w:eastAsia="仿宋_GB2312"/>
          <w:color w:val="auto"/>
          <w:kern w:val="0"/>
          <w:sz w:val="32"/>
          <w:szCs w:val="32"/>
        </w:rPr>
        <w:t>.</w:t>
      </w:r>
      <w:r>
        <w:rPr>
          <w:rFonts w:hint="eastAsia" w:eastAsia="仿宋_GB2312"/>
          <w:color w:val="auto"/>
          <w:kern w:val="0"/>
          <w:sz w:val="32"/>
          <w:szCs w:val="32"/>
          <w:lang w:eastAsia="zh-CN"/>
        </w:rPr>
        <w:t>公司规模小，未设置专人负责环保工作，自行监测工作委托给第三方后，公司未按照排污许可证进行核对，</w:t>
      </w:r>
      <w:r>
        <w:rPr>
          <w:rFonts w:hint="eastAsia" w:eastAsia="仿宋_GB2312"/>
          <w:color w:val="auto"/>
          <w:kern w:val="0"/>
          <w:sz w:val="32"/>
          <w:szCs w:val="32"/>
          <w:lang w:val="en-US" w:eastAsia="zh-CN"/>
        </w:rPr>
        <w:t>发现存在自行监测漏检项目，已更换第三方检测公司</w:t>
      </w:r>
      <w:r>
        <w:rPr>
          <w:rFonts w:hint="eastAsia" w:eastAsia="仿宋_GB2312"/>
          <w:color w:val="auto"/>
          <w:kern w:val="0"/>
          <w:sz w:val="32"/>
          <w:szCs w:val="32"/>
          <w:lang w:eastAsia="zh-CN"/>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70" w:lineRule="exact"/>
        <w:ind w:firstLine="640" w:firstLineChars="200"/>
        <w:textAlignment w:val="auto"/>
        <w:rPr>
          <w:rFonts w:hint="eastAsia" w:eastAsia="仿宋_GB2312"/>
          <w:color w:val="auto"/>
          <w:kern w:val="0"/>
          <w:sz w:val="32"/>
          <w:szCs w:val="32"/>
          <w:lang w:eastAsia="zh-CN"/>
        </w:rPr>
      </w:pPr>
      <w:r>
        <w:rPr>
          <w:rFonts w:hint="eastAsia" w:eastAsia="仿宋_GB2312"/>
          <w:color w:val="auto"/>
          <w:kern w:val="0"/>
          <w:sz w:val="32"/>
          <w:szCs w:val="32"/>
          <w:lang w:val="en-US" w:eastAsia="zh-CN"/>
        </w:rPr>
        <w:t>2</w:t>
      </w:r>
      <w:r>
        <w:rPr>
          <w:rFonts w:hint="eastAsia" w:eastAsia="仿宋_GB2312"/>
          <w:color w:val="auto"/>
          <w:kern w:val="0"/>
          <w:sz w:val="32"/>
          <w:szCs w:val="32"/>
        </w:rPr>
        <w:t>.</w:t>
      </w:r>
      <w:r>
        <w:rPr>
          <w:rFonts w:hint="eastAsia" w:eastAsia="仿宋_GB2312"/>
          <w:color w:val="auto"/>
          <w:kern w:val="0"/>
          <w:sz w:val="32"/>
          <w:szCs w:val="32"/>
          <w:lang w:eastAsia="zh-CN"/>
        </w:rPr>
        <w:t>受</w:t>
      </w:r>
      <w:r>
        <w:rPr>
          <w:rFonts w:hint="eastAsia" w:eastAsia="仿宋_GB2312"/>
          <w:color w:val="auto"/>
          <w:kern w:val="0"/>
          <w:sz w:val="32"/>
          <w:szCs w:val="32"/>
        </w:rPr>
        <w:t>疫情影响，</w:t>
      </w:r>
      <w:r>
        <w:rPr>
          <w:rFonts w:hint="eastAsia" w:eastAsia="仿宋_GB2312"/>
          <w:color w:val="auto"/>
          <w:kern w:val="0"/>
          <w:sz w:val="32"/>
          <w:szCs w:val="32"/>
          <w:lang w:eastAsia="zh-CN"/>
        </w:rPr>
        <w:t>企业</w:t>
      </w:r>
      <w:r>
        <w:rPr>
          <w:rFonts w:hint="eastAsia" w:eastAsia="仿宋_GB2312"/>
          <w:color w:val="auto"/>
          <w:kern w:val="0"/>
          <w:sz w:val="32"/>
          <w:szCs w:val="32"/>
        </w:rPr>
        <w:t>经营</w:t>
      </w:r>
      <w:r>
        <w:rPr>
          <w:rFonts w:hint="eastAsia" w:eastAsia="仿宋_GB2312"/>
          <w:color w:val="auto"/>
          <w:kern w:val="0"/>
          <w:sz w:val="32"/>
          <w:szCs w:val="32"/>
          <w:lang w:eastAsia="zh-CN"/>
        </w:rPr>
        <w:t>困难</w:t>
      </w:r>
      <w:r>
        <w:rPr>
          <w:rFonts w:hint="eastAsia" w:eastAsia="仿宋_GB2312"/>
          <w:color w:val="auto"/>
          <w:kern w:val="0"/>
          <w:sz w:val="32"/>
          <w:szCs w:val="32"/>
          <w:lang w:val="en-US" w:eastAsia="zh-CN"/>
        </w:rPr>
        <w:t>，</w:t>
      </w:r>
      <w:r>
        <w:rPr>
          <w:rFonts w:hint="eastAsia" w:eastAsia="仿宋_GB2312"/>
          <w:color w:val="auto"/>
          <w:kern w:val="0"/>
          <w:sz w:val="32"/>
          <w:szCs w:val="32"/>
          <w:lang w:eastAsia="zh-CN"/>
        </w:rPr>
        <w:t>申请</w:t>
      </w:r>
      <w:r>
        <w:rPr>
          <w:rFonts w:hint="eastAsia" w:eastAsia="仿宋_GB2312"/>
          <w:color w:val="auto"/>
          <w:kern w:val="0"/>
          <w:sz w:val="32"/>
          <w:szCs w:val="32"/>
        </w:rPr>
        <w:t>减免</w:t>
      </w:r>
      <w:r>
        <w:rPr>
          <w:rFonts w:hint="eastAsia" w:eastAsia="仿宋_GB2312"/>
          <w:color w:val="auto"/>
          <w:kern w:val="0"/>
          <w:sz w:val="32"/>
          <w:szCs w:val="32"/>
          <w:lang w:eastAsia="zh-CN"/>
        </w:rPr>
        <w:t>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53</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val="en-US" w:eastAsia="zh-CN"/>
        </w:rPr>
        <w:t>你单位提出的《行政处罚申述书》</w:t>
      </w:r>
      <w:r>
        <w:rPr>
          <w:rFonts w:eastAsia="仿宋_GB2312"/>
          <w:color w:val="auto"/>
          <w:kern w:val="0"/>
          <w:sz w:val="32"/>
          <w:szCs w:val="32"/>
        </w:rPr>
        <w:t xml:space="preserve">等证据为凭。  </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集体审议</w:t>
      </w:r>
      <w:r>
        <w:rPr>
          <w:rFonts w:hint="eastAsia" w:eastAsia="仿宋_GB2312"/>
          <w:color w:val="auto"/>
          <w:kern w:val="0"/>
          <w:sz w:val="32"/>
          <w:szCs w:val="32"/>
        </w:rPr>
        <w:t>，</w:t>
      </w:r>
      <w:r>
        <w:rPr>
          <w:rFonts w:hint="eastAsia" w:eastAsia="仿宋_GB2312"/>
          <w:color w:val="auto"/>
          <w:kern w:val="0"/>
          <w:sz w:val="32"/>
          <w:szCs w:val="32"/>
          <w:lang w:val="en-US" w:eastAsia="zh-CN"/>
        </w:rPr>
        <w:t>考虑你单位积极整改违法行为和前期疫情对你单位的影响，采纳你单位部分陈述申辩意见，对你单位进行帮扶，从轻处罚。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《排污许可管理条例》第三十六条第（五）项</w:t>
      </w:r>
      <w:r>
        <w:rPr>
          <w:rFonts w:hint="eastAsia" w:eastAsia="仿宋_GB2312"/>
          <w:color w:val="auto"/>
          <w:kern w:val="0"/>
          <w:sz w:val="32"/>
          <w:szCs w:val="32"/>
        </w:rPr>
        <w:t>的规定，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kern w:val="0"/>
          <w:sz w:val="32"/>
          <w:szCs w:val="32"/>
        </w:rPr>
        <w:t>责令你单位</w:t>
      </w:r>
      <w:r>
        <w:rPr>
          <w:rFonts w:hint="eastAsia" w:eastAsia="仿宋_GB2312"/>
          <w:color w:val="auto"/>
          <w:sz w:val="32"/>
          <w:szCs w:val="32"/>
          <w:lang w:eastAsia="zh-CN"/>
        </w:rPr>
        <w:t>立即改正违法行为</w:t>
      </w:r>
      <w:r>
        <w:rPr>
          <w:rFonts w:hint="eastAsia"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eastAsia="zh-CN"/>
        </w:rPr>
        <w:t>二</w:t>
      </w:r>
      <w:r>
        <w:rPr>
          <w:rFonts w:eastAsia="仿宋_GB2312"/>
          <w:color w:val="auto"/>
          <w:kern w:val="0"/>
          <w:sz w:val="32"/>
          <w:szCs w:val="32"/>
        </w:rPr>
        <w:t>万</w:t>
      </w:r>
      <w:r>
        <w:rPr>
          <w:rFonts w:hint="eastAsia" w:eastAsia="仿宋_GB2312"/>
          <w:color w:val="auto"/>
          <w:kern w:val="0"/>
          <w:sz w:val="32"/>
          <w:szCs w:val="32"/>
          <w:lang w:eastAsia="zh-CN"/>
        </w:rPr>
        <w:t>五千</w:t>
      </w:r>
      <w:r>
        <w:rPr>
          <w:rFonts w:eastAsia="仿宋_GB2312"/>
          <w:color w:val="auto"/>
          <w:kern w:val="0"/>
          <w:sz w:val="32"/>
          <w:szCs w:val="32"/>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val="en-US" w:eastAsia="zh-CN"/>
        </w:rPr>
        <w:t>你单位应按照排污许可证规定制定自行监测方案并开展自行监测</w:t>
      </w:r>
      <w:r>
        <w:rPr>
          <w:rFonts w:hint="eastAsia" w:eastAsia="仿宋_GB2312"/>
          <w:color w:val="auto"/>
          <w:kern w:val="0"/>
          <w:sz w:val="32"/>
          <w:szCs w:val="32"/>
          <w:lang w:eastAsia="zh-CN"/>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如对本处罚决定不服，</w:t>
      </w:r>
      <w:r>
        <w:rPr>
          <w:rFonts w:hint="eastAsia" w:eastAsia="仿宋_GB2312"/>
          <w:color w:val="auto"/>
          <w:kern w:val="0"/>
          <w:sz w:val="32"/>
          <w:szCs w:val="32"/>
          <w:lang w:val="en-US" w:eastAsia="zh-CN"/>
        </w:rPr>
        <w:t>你单位</w:t>
      </w:r>
      <w:r>
        <w:rPr>
          <w:rFonts w:eastAsia="仿宋_GB2312"/>
          <w:color w:val="auto"/>
          <w:kern w:val="0"/>
          <w:sz w:val="32"/>
          <w:szCs w:val="32"/>
        </w:rPr>
        <w:t>可在收到本处罚决定书之日起六十日内向中华人民共和国生态环境部或者天津市人民政府申请</w:t>
      </w:r>
      <w:r>
        <w:rPr>
          <w:rFonts w:hint="eastAsia" w:eastAsia="仿宋_GB2312"/>
          <w:color w:val="auto"/>
          <w:kern w:val="0"/>
          <w:sz w:val="32"/>
          <w:szCs w:val="32"/>
          <w:lang w:val="en-US" w:eastAsia="zh-CN"/>
        </w:rPr>
        <w:t>行政</w:t>
      </w:r>
      <w:r>
        <w:rPr>
          <w:rFonts w:eastAsia="仿宋_GB2312"/>
          <w:color w:val="auto"/>
          <w:kern w:val="0"/>
          <w:sz w:val="32"/>
          <w:szCs w:val="32"/>
        </w:rPr>
        <w:t>复议，也可在六个月内直接向天津铁路运输法院</w:t>
      </w:r>
      <w:r>
        <w:rPr>
          <w:rFonts w:hint="eastAsia" w:eastAsia="仿宋_GB2312"/>
          <w:color w:val="auto"/>
          <w:kern w:val="0"/>
          <w:sz w:val="32"/>
          <w:szCs w:val="32"/>
          <w:lang w:val="en-US" w:eastAsia="zh-CN"/>
        </w:rPr>
        <w:t>提起行政</w:t>
      </w:r>
      <w:r>
        <w:rPr>
          <w:rFonts w:eastAsia="仿宋_GB2312"/>
          <w:color w:val="auto"/>
          <w:kern w:val="0"/>
          <w:sz w:val="32"/>
          <w:szCs w:val="32"/>
        </w:rPr>
        <w:t>起诉。</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申请行政复议或者提起行政诉讼，不停止</w:t>
      </w:r>
      <w:r>
        <w:rPr>
          <w:rFonts w:hint="eastAsia" w:eastAsia="仿宋_GB2312"/>
          <w:color w:val="auto"/>
          <w:kern w:val="0"/>
          <w:sz w:val="32"/>
          <w:szCs w:val="32"/>
          <w:lang w:val="en-US" w:eastAsia="zh-CN"/>
        </w:rPr>
        <w:t>本</w:t>
      </w:r>
      <w:r>
        <w:rPr>
          <w:rFonts w:eastAsia="仿宋_GB2312"/>
          <w:color w:val="auto"/>
          <w:kern w:val="0"/>
          <w:sz w:val="32"/>
          <w:szCs w:val="32"/>
        </w:rPr>
        <w:t>行政处罚决定的执行。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7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你单位自觉履行本行政处罚决定并完成相关整改工作后，可登录“信用中国（天津）”网站（https://credit.fzgg.tj.gov.cn/）信用服务-信用修复栏目自助开展行政处罚信用修复。修复后你单位上述行政处罚信息将在信用中国网站停止公示。</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70" w:lineRule="exact"/>
        <w:ind w:right="-20"/>
        <w:jc w:val="left"/>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bookmarkStart w:id="4" w:name="_GoBack"/>
      <w:bookmarkEnd w:id="4"/>
    </w:p>
    <w:p>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pPr>
        <w:keepNext w:val="0"/>
        <w:keepLines w:val="0"/>
        <w:pageBreakBefore w:val="0"/>
        <w:widowControl w:val="0"/>
        <w:kinsoku/>
        <w:wordWrap/>
        <w:overflowPunct/>
        <w:topLinePunct w:val="0"/>
        <w:bidi w:val="0"/>
        <w:adjustRightInd w:val="0"/>
        <w:snapToGrid w:val="0"/>
        <w:spacing w:line="57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3"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bookmarkEnd w:id="3"/>
      <w:r>
        <w:rPr>
          <w:rFonts w:hint="eastAsia" w:eastAsia="仿宋_GB2312"/>
          <w:color w:val="auto"/>
          <w:kern w:val="0"/>
          <w:sz w:val="32"/>
          <w:szCs w:val="32"/>
          <w:lang w:val="en-US" w:eastAsia="zh-CN"/>
        </w:rPr>
        <w:t>26</w:t>
      </w:r>
      <w:r>
        <w:rPr>
          <w:rFonts w:eastAsia="仿宋_GB2312"/>
          <w:color w:val="auto"/>
          <w:kern w:val="0"/>
          <w:sz w:val="32"/>
          <w:szCs w:val="32"/>
        </w:rPr>
        <w:t>日</w:t>
      </w:r>
    </w:p>
    <w:p>
      <w:pPr>
        <w:keepNext w:val="0"/>
        <w:keepLines w:val="0"/>
        <w:pageBreakBefore w:val="0"/>
        <w:widowControl w:val="0"/>
        <w:kinsoku/>
        <w:wordWrap/>
        <w:overflowPunct/>
        <w:topLinePunct w:val="0"/>
        <w:bidi w:val="0"/>
        <w:adjustRightInd w:val="0"/>
        <w:snapToGrid w:val="0"/>
        <w:spacing w:line="570" w:lineRule="exact"/>
        <w:jc w:val="center"/>
        <w:textAlignment w:val="auto"/>
        <w:rPr>
          <w:rFonts w:eastAsia="仿宋_GB2312"/>
          <w:color w:val="auto"/>
          <w:kern w:val="0"/>
          <w:sz w:val="32"/>
          <w:szCs w:val="32"/>
        </w:rPr>
      </w:pPr>
    </w:p>
    <w:p>
      <w:pPr>
        <w:keepNext w:val="0"/>
        <w:keepLines w:val="0"/>
        <w:pageBreakBefore w:val="0"/>
        <w:widowControl w:val="0"/>
        <w:tabs>
          <w:tab w:val="left" w:pos="9120"/>
        </w:tabs>
        <w:kinsoku/>
        <w:wordWrap/>
        <w:overflowPunct/>
        <w:topLinePunct w:val="0"/>
        <w:autoSpaceDE w:val="0"/>
        <w:autoSpaceDN w:val="0"/>
        <w:bidi w:val="0"/>
        <w:adjustRightInd w:val="0"/>
        <w:spacing w:line="570" w:lineRule="exact"/>
        <w:ind w:right="120"/>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57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2CAF7DF5"/>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BC97030"/>
    <w:rsid w:val="0DE05630"/>
    <w:rsid w:val="16FD0578"/>
    <w:rsid w:val="23D96EAA"/>
    <w:rsid w:val="2A1A666F"/>
    <w:rsid w:val="2CAF7DF5"/>
    <w:rsid w:val="2D8321C2"/>
    <w:rsid w:val="3214796D"/>
    <w:rsid w:val="437816BC"/>
    <w:rsid w:val="43BD07B0"/>
    <w:rsid w:val="450F61CB"/>
    <w:rsid w:val="48BA6272"/>
    <w:rsid w:val="4A3E05CE"/>
    <w:rsid w:val="4A437691"/>
    <w:rsid w:val="4BD91CDD"/>
    <w:rsid w:val="502F15FB"/>
    <w:rsid w:val="503F23C3"/>
    <w:rsid w:val="51935037"/>
    <w:rsid w:val="553A03CB"/>
    <w:rsid w:val="58763D60"/>
    <w:rsid w:val="5BDF2ED1"/>
    <w:rsid w:val="5F7C4535"/>
    <w:rsid w:val="624F5E3E"/>
    <w:rsid w:val="6404560A"/>
    <w:rsid w:val="64F75746"/>
    <w:rsid w:val="66B216B2"/>
    <w:rsid w:val="679D04BA"/>
    <w:rsid w:val="6851522E"/>
    <w:rsid w:val="72330BA4"/>
    <w:rsid w:val="72C45BEC"/>
    <w:rsid w:val="73744CD2"/>
    <w:rsid w:val="742B7C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3&#24037;&#20316;\&#27861;&#21046;&#23457;&#26680;\&#25191;&#27861;&#24635;&#38431;&#34892;&#25919;&#22788;&#32602;&#25991;&#20070;&#27169;&#26495;2022.12&#26356;&#26032;\&#34892;&#25919;&#22788;&#32602;&#20915;&#23450;&#20070;&#65288;&#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行政处罚决定书（申辩）.dot</Template>
  <Pages>4</Pages>
  <Words>1541</Words>
  <Characters>1713</Characters>
  <Lines>8</Lines>
  <Paragraphs>2</Paragraphs>
  <TotalTime>24</TotalTime>
  <ScaleCrop>false</ScaleCrop>
  <LinksUpToDate>false</LinksUpToDate>
  <CharactersWithSpaces>1842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2023-06-12T01:50:00Z</dcterms:created>
  <dc:creator>何敏</dc:creator>
  <cp:lastModifiedBy>何敏</cp:lastModifiedBy>
  <cp:lastPrinted>2023-06-26T01:06:00Z</cp:lastPrinted>
  <dcterms:modified xsi:type="dcterms:W3CDTF">2023-06-27T07:36:06Z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3BA1A303EDF34FE293564447C94E0BAE_13</vt:lpwstr>
  </property>
</Properties>
</file>