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auto"/>
          <w:spacing w:val="1"/>
          <w:kern w:val="0"/>
          <w:position w:val="-2"/>
          <w:sz w:val="32"/>
          <w:szCs w:val="32"/>
        </w:rPr>
      </w:pP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环罚字</w:t>
      </w:r>
      <w:bookmarkStart w:id="2" w:name="PO_7_NianDuBianHao"/>
      <w:r>
        <w:rPr>
          <w:rFonts w:eastAsia="仿宋_GB2312"/>
          <w:color w:val="auto"/>
          <w:kern w:val="0"/>
          <w:position w:val="-2"/>
          <w:sz w:val="32"/>
          <w:szCs w:val="32"/>
        </w:rPr>
        <w:t>〔20</w:t>
      </w:r>
      <w:bookmarkEnd w:id="2"/>
      <w:r>
        <w:rPr>
          <w:rFonts w:hint="eastAsia" w:eastAsia="仿宋_GB2312"/>
          <w:color w:val="auto"/>
          <w:kern w:val="0"/>
          <w:position w:val="-2"/>
          <w:sz w:val="32"/>
          <w:szCs w:val="32"/>
          <w:lang w:val="en-US" w:eastAsia="zh-CN"/>
        </w:rPr>
        <w:t>23</w:t>
      </w:r>
      <w:r>
        <w:rPr>
          <w:rFonts w:eastAsia="仿宋_GB2312"/>
          <w:color w:val="auto"/>
          <w:kern w:val="0"/>
          <w:position w:val="-2"/>
          <w:sz w:val="32"/>
          <w:szCs w:val="32"/>
        </w:rPr>
        <w:t>〕</w:t>
      </w:r>
      <w:r>
        <w:rPr>
          <w:rFonts w:hint="eastAsia" w:eastAsia="仿宋_GB2312"/>
          <w:color w:val="auto"/>
          <w:kern w:val="0"/>
          <w:sz w:val="32"/>
          <w:szCs w:val="32"/>
          <w:lang w:val="en-US" w:eastAsia="zh-CN"/>
        </w:rPr>
        <w:t>78</w:t>
      </w:r>
      <w:r>
        <w:rPr>
          <w:rFonts w:eastAsia="仿宋_GB2312"/>
          <w:color w:val="auto"/>
          <w:kern w:val="0"/>
          <w:position w:val="-2"/>
          <w:sz w:val="32"/>
          <w:szCs w:val="32"/>
        </w:rPr>
        <w:t>号</w:t>
      </w:r>
    </w:p>
    <w:p>
      <w:pPr>
        <w:tabs>
          <w:tab w:val="left" w:pos="4600"/>
        </w:tabs>
        <w:autoSpaceDE w:val="0"/>
        <w:autoSpaceDN w:val="0"/>
        <w:adjustRightInd w:val="0"/>
        <w:snapToGrid w:val="0"/>
        <w:spacing w:line="360" w:lineRule="auto"/>
        <w:ind w:right="-119"/>
        <w:jc w:val="center"/>
        <w:rPr>
          <w:rFonts w:eastAsia="仿宋_GB2312"/>
          <w:color w:val="auto"/>
          <w:kern w:val="0"/>
          <w:position w:val="-2"/>
          <w:sz w:val="32"/>
          <w:szCs w:val="32"/>
        </w:rPr>
      </w:pP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56" w:lineRule="exact"/>
        <w:jc w:val="both"/>
        <w:textAlignment w:val="auto"/>
        <w:rPr>
          <w:rFonts w:eastAsia="仿宋_GB2312"/>
          <w:color w:val="auto"/>
          <w:kern w:val="0"/>
          <w:sz w:val="32"/>
          <w:szCs w:val="32"/>
        </w:rPr>
      </w:pPr>
      <w:r>
        <w:rPr>
          <w:rFonts w:hint="eastAsia" w:eastAsia="仿宋_GB2312"/>
          <w:color w:val="auto"/>
          <w:kern w:val="0"/>
          <w:sz w:val="32"/>
          <w:szCs w:val="32"/>
          <w:lang w:val="en-US" w:eastAsia="zh-CN"/>
        </w:rPr>
        <w:t>天津中泽建筑劳务有限公司</w:t>
      </w:r>
      <w:r>
        <w:rPr>
          <w:rFonts w:eastAsia="仿宋_GB2312"/>
          <w:color w:val="auto"/>
          <w:kern w:val="0"/>
          <w:sz w:val="32"/>
          <w:szCs w:val="32"/>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56" w:lineRule="exact"/>
        <w:jc w:val="both"/>
        <w:textAlignment w:val="auto"/>
        <w:rPr>
          <w:rFonts w:hint="eastAsia" w:eastAsia="仿宋_GB2312"/>
          <w:color w:val="auto"/>
          <w:kern w:val="0"/>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91120224MA06CUJN91</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56" w:lineRule="exact"/>
        <w:jc w:val="both"/>
        <w:textAlignment w:val="auto"/>
        <w:rPr>
          <w:rFonts w:hint="eastAsia" w:eastAsia="仿宋_GB2312"/>
          <w:color w:val="auto"/>
          <w:kern w:val="0"/>
          <w:sz w:val="32"/>
          <w:szCs w:val="32"/>
        </w:rPr>
      </w:pPr>
      <w:r>
        <w:rPr>
          <w:rFonts w:eastAsia="仿宋_GB2312"/>
          <w:color w:val="auto"/>
          <w:kern w:val="0"/>
          <w:sz w:val="32"/>
          <w:szCs w:val="32"/>
        </w:rPr>
        <w:t>地址：</w:t>
      </w:r>
      <w:r>
        <w:rPr>
          <w:rFonts w:hint="eastAsia" w:eastAsia="仿宋_GB2312"/>
          <w:color w:val="auto"/>
          <w:kern w:val="0"/>
          <w:sz w:val="32"/>
          <w:szCs w:val="32"/>
          <w:lang w:eastAsia="zh-CN"/>
        </w:rPr>
        <w:t>天</w:t>
      </w:r>
      <w:r>
        <w:rPr>
          <w:rFonts w:hint="eastAsia" w:eastAsia="仿宋_GB2312"/>
          <w:color w:val="auto"/>
          <w:kern w:val="0"/>
          <w:sz w:val="32"/>
          <w:szCs w:val="32"/>
          <w:lang w:val="en-US" w:eastAsia="zh-CN"/>
        </w:rPr>
        <w:t>津市宝坻区牛道口镇产业功能区二号路南侧（宝平路西500米）</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56" w:lineRule="exact"/>
        <w:jc w:val="both"/>
        <w:textAlignment w:val="auto"/>
        <w:rPr>
          <w:rFonts w:hint="eastAsia" w:eastAsia="仿宋_GB2312"/>
          <w:color w:val="auto"/>
          <w:kern w:val="0"/>
          <w:sz w:val="32"/>
          <w:szCs w:val="32"/>
        </w:rPr>
      </w:pPr>
      <w:r>
        <w:rPr>
          <w:rFonts w:hint="eastAsia" w:eastAsia="仿宋_GB2312"/>
          <w:color w:val="auto"/>
          <w:kern w:val="0"/>
          <w:sz w:val="32"/>
          <w:szCs w:val="32"/>
          <w:lang w:eastAsia="zh-CN"/>
        </w:rPr>
        <w:t>法定代表</w:t>
      </w:r>
      <w:r>
        <w:rPr>
          <w:rFonts w:eastAsia="仿宋_GB2312"/>
          <w:color w:val="auto"/>
          <w:kern w:val="0"/>
          <w:sz w:val="32"/>
          <w:szCs w:val="32"/>
        </w:rPr>
        <w:t>人：</w:t>
      </w:r>
      <w:r>
        <w:rPr>
          <w:rFonts w:hint="eastAsia" w:eastAsia="仿宋_GB2312"/>
          <w:color w:val="auto"/>
          <w:kern w:val="0"/>
          <w:sz w:val="32"/>
          <w:szCs w:val="32"/>
          <w:lang w:val="en-US" w:eastAsia="zh-CN"/>
        </w:rPr>
        <w:t>范天辉</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56" w:lineRule="exact"/>
        <w:jc w:val="both"/>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我局于2023年3月28日对天津市河西区津西资（挂）2021-012号地块项目建筑工地进行现场检查，该工地位于天津市河西区洞庭路与规划洪江道交口东南侧，为《天津市人民政府关于划定禁止使用高排放非道路移动机械区域的通告》（津政规〔2022〕2号）规定的禁止使用高排放非道路移动机械一类禁用区。经调查，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现场检查时，该工地有1台杭州牌叉车（机械登记信息标号：3-20030628，车辆牌号：浙B65737；生产日期：2019年5月；发动机型号：C490BPG；发动机额定功率：40kW；排放阶段：国Ⅲ阶段）正在作业。天津市生态环境保护综合行政执法总队委托天津市生态环境监测中心对上述叉车尾气的光吸收系数进行采样监测。《监测报告》〔津环监（监）7-2303006-30号〕显示：上述叉车尾气排放光吸收系数为1.34m</w:t>
      </w:r>
      <w:r>
        <w:rPr>
          <w:rFonts w:hint="eastAsia" w:eastAsia="仿宋_GB2312"/>
          <w:color w:val="auto"/>
          <w:sz w:val="32"/>
          <w:szCs w:val="32"/>
          <w:vertAlign w:val="superscript"/>
          <w:lang w:val="en-US" w:eastAsia="zh-CN"/>
        </w:rPr>
        <w:t>-1</w:t>
      </w:r>
      <w:r>
        <w:rPr>
          <w:rFonts w:hint="eastAsia" w:eastAsia="仿宋_GB2312"/>
          <w:color w:val="auto"/>
          <w:sz w:val="32"/>
          <w:szCs w:val="32"/>
          <w:lang w:val="en-US" w:eastAsia="zh-CN"/>
        </w:rPr>
        <w:t>，不符合《非道路柴油移动机械排气烟度限值及测量方法》（GB36886-2018）中4.1.3“城市人民政府可以根据大气环境质量状况，划定并公布禁止使用高排放非道路柴油移动机械的区域，限定区域内可选择执行表1中的非道路柴油移动机械烟度排放的Ⅲ类限值”的规定（额定净功率≥37kW时，光吸收系数不得超过0.50m</w:t>
      </w:r>
      <w:r>
        <w:rPr>
          <w:rFonts w:hint="eastAsia" w:eastAsia="仿宋_GB2312"/>
          <w:color w:val="auto"/>
          <w:sz w:val="32"/>
          <w:szCs w:val="32"/>
          <w:vertAlign w:val="superscript"/>
          <w:lang w:val="en-US" w:eastAsia="zh-CN"/>
        </w:rPr>
        <w:t>-1</w:t>
      </w:r>
      <w:r>
        <w:rPr>
          <w:rFonts w:hint="eastAsia" w:eastAsia="仿宋_GB2312"/>
          <w:color w:val="auto"/>
          <w:sz w:val="32"/>
          <w:szCs w:val="32"/>
          <w:lang w:val="en-US" w:eastAsia="zh-CN"/>
        </w:rPr>
        <w:t>；额定净功率&lt;37kW时，光吸收系数不得超过0.80m</w:t>
      </w:r>
      <w:r>
        <w:rPr>
          <w:rFonts w:hint="eastAsia" w:eastAsia="仿宋_GB2312"/>
          <w:color w:val="auto"/>
          <w:sz w:val="32"/>
          <w:szCs w:val="32"/>
          <w:vertAlign w:val="superscript"/>
          <w:lang w:val="en-US" w:eastAsia="zh-CN"/>
        </w:rPr>
        <w:t>-1</w:t>
      </w:r>
      <w:r>
        <w:rPr>
          <w:rFonts w:hint="eastAsia" w:eastAsia="仿宋_GB2312"/>
          <w:color w:val="auto"/>
          <w:sz w:val="32"/>
          <w:szCs w:val="32"/>
          <w:lang w:val="en-US" w:eastAsia="zh-CN"/>
        </w:rPr>
        <w:t>）。经确认，上述叉车为你单位所有并入场使用。</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sz w:val="32"/>
          <w:szCs w:val="32"/>
        </w:rPr>
      </w:pPr>
      <w:r>
        <w:rPr>
          <w:rFonts w:hint="eastAsia" w:eastAsia="仿宋_GB2312"/>
          <w:color w:val="auto"/>
          <w:sz w:val="32"/>
          <w:szCs w:val="32"/>
          <w:lang w:val="en-US" w:eastAsia="zh-CN"/>
        </w:rPr>
        <w:t>以上事实，有《天津市生态环境局现场检查（勘察）笔录》《天津市生态环境局调查询问笔录》《天津市人民政府关于划定使用高排放非道路移动机械区域的通告》（津政规〔2022〕2号）、《建筑工程分包合同》、《监测报告》〔津环监（监）7-2303006-30号〕、《非道路柴油移动机械排气烟度限值及测量方法》（GB36886-2018）、《柴油车污染物排放限值及测量方法（自由加速法及加载减速法）》（GB3847-2018）附录A（规范性附录）自由加速法、现场拍摄的视频以及营业执照复印件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eastAsia="仿宋_GB2312"/>
          <w:color w:val="auto"/>
          <w:sz w:val="32"/>
          <w:szCs w:val="32"/>
        </w:rPr>
        <w:t>你单位上述行为违反了</w:t>
      </w:r>
      <w:r>
        <w:rPr>
          <w:rFonts w:hint="eastAsia" w:eastAsia="仿宋_GB2312"/>
          <w:color w:val="auto"/>
          <w:sz w:val="32"/>
          <w:szCs w:val="32"/>
          <w:lang w:val="en-US" w:eastAsia="zh-CN"/>
        </w:rPr>
        <w:t>《中华人民共和国大气污染防治法》第五十一条第一款的规定</w:t>
      </w:r>
      <w:r>
        <w:rPr>
          <w:rFonts w:eastAsia="仿宋_GB2312"/>
          <w:color w:val="auto"/>
          <w:kern w:val="0"/>
          <w:sz w:val="32"/>
          <w:szCs w:val="32"/>
        </w:rPr>
        <w:t>，依法应当予以处罚。</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仿宋_GB2312" w:cs="Times New Roman"/>
          <w:color w:val="auto"/>
          <w:kern w:val="2"/>
          <w:sz w:val="32"/>
          <w:szCs w:val="32"/>
          <w:lang w:val="en-US" w:eastAsia="zh-CN" w:bidi="ar-SA"/>
        </w:rPr>
      </w:pPr>
      <w:r>
        <w:rPr>
          <w:rFonts w:eastAsia="仿宋_GB2312"/>
          <w:color w:val="auto"/>
          <w:kern w:val="0"/>
          <w:sz w:val="32"/>
          <w:szCs w:val="32"/>
        </w:rPr>
        <w:t>我局于20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r>
        <w:rPr>
          <w:rFonts w:hint="eastAsia" w:eastAsia="仿宋_GB2312"/>
          <w:color w:val="auto"/>
          <w:kern w:val="0"/>
          <w:sz w:val="32"/>
          <w:szCs w:val="32"/>
          <w:lang w:val="en-US" w:eastAsia="zh-CN"/>
        </w:rPr>
        <w:t>5</w:t>
      </w:r>
      <w:r>
        <w:rPr>
          <w:rFonts w:eastAsia="仿宋_GB2312"/>
          <w:color w:val="auto"/>
          <w:kern w:val="0"/>
          <w:sz w:val="32"/>
          <w:szCs w:val="32"/>
        </w:rPr>
        <w:t>日以《天津市生态环境局行政处罚</w:t>
      </w:r>
      <w:r>
        <w:rPr>
          <w:rFonts w:hint="eastAsia" w:eastAsia="仿宋_GB2312"/>
          <w:color w:val="auto"/>
          <w:kern w:val="0"/>
          <w:sz w:val="32"/>
          <w:szCs w:val="32"/>
          <w:lang w:eastAsia="zh-CN"/>
        </w:rPr>
        <w:t>事先</w:t>
      </w:r>
      <w:r>
        <w:rPr>
          <w:rFonts w:eastAsia="仿宋_GB2312"/>
          <w:color w:val="auto"/>
          <w:kern w:val="0"/>
          <w:sz w:val="32"/>
          <w:szCs w:val="32"/>
        </w:rPr>
        <w:t>告知书》（津市环</w:t>
      </w:r>
      <w:r>
        <w:rPr>
          <w:rFonts w:hint="eastAsia" w:eastAsia="仿宋_GB2312"/>
          <w:color w:val="auto"/>
          <w:kern w:val="0"/>
          <w:sz w:val="32"/>
          <w:szCs w:val="32"/>
          <w:lang w:eastAsia="zh-CN"/>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40</w:t>
      </w:r>
      <w:r>
        <w:rPr>
          <w:rFonts w:eastAsia="仿宋_GB2312"/>
          <w:color w:val="auto"/>
          <w:kern w:val="0"/>
          <w:sz w:val="32"/>
          <w:szCs w:val="32"/>
        </w:rPr>
        <w:t>号），告知你单位违法事实、处罚依据和拟作出的处罚决定，并明确告知你单位有权进行陈述、申辩。</w:t>
      </w:r>
      <w:r>
        <w:rPr>
          <w:rFonts w:hint="eastAsia" w:eastAsia="仿宋_GB2312"/>
          <w:color w:val="auto"/>
          <w:kern w:val="0"/>
          <w:sz w:val="32"/>
          <w:szCs w:val="32"/>
        </w:rPr>
        <w:t>我局于20</w:t>
      </w:r>
      <w:r>
        <w:rPr>
          <w:rFonts w:hint="eastAsia" w:eastAsia="仿宋_GB2312"/>
          <w:color w:val="auto"/>
          <w:kern w:val="0"/>
          <w:sz w:val="32"/>
          <w:szCs w:val="32"/>
          <w:lang w:val="en-US" w:eastAsia="zh-CN"/>
        </w:rPr>
        <w:t>23</w:t>
      </w:r>
      <w:r>
        <w:rPr>
          <w:rFonts w:hint="eastAsia" w:eastAsia="仿宋_GB2312"/>
          <w:color w:val="auto"/>
          <w:kern w:val="0"/>
          <w:sz w:val="32"/>
          <w:szCs w:val="32"/>
        </w:rPr>
        <w:t>年</w:t>
      </w:r>
      <w:r>
        <w:rPr>
          <w:rFonts w:hint="eastAsia" w:eastAsia="仿宋_GB2312"/>
          <w:color w:val="auto"/>
          <w:kern w:val="0"/>
          <w:sz w:val="32"/>
          <w:szCs w:val="32"/>
          <w:lang w:val="en-US" w:eastAsia="zh-CN"/>
        </w:rPr>
        <w:t>5</w:t>
      </w:r>
      <w:r>
        <w:rPr>
          <w:rFonts w:hint="eastAsia" w:eastAsia="仿宋_GB2312"/>
          <w:color w:val="auto"/>
          <w:kern w:val="0"/>
          <w:sz w:val="32"/>
          <w:szCs w:val="32"/>
        </w:rPr>
        <w:t>月</w:t>
      </w:r>
      <w:r>
        <w:rPr>
          <w:rFonts w:hint="eastAsia" w:eastAsia="仿宋_GB2312"/>
          <w:color w:val="auto"/>
          <w:kern w:val="0"/>
          <w:sz w:val="32"/>
          <w:szCs w:val="32"/>
          <w:lang w:val="en-US" w:eastAsia="zh-CN"/>
        </w:rPr>
        <w:t>8</w:t>
      </w:r>
      <w:r>
        <w:rPr>
          <w:rFonts w:hint="eastAsia" w:eastAsia="仿宋_GB2312"/>
          <w:color w:val="auto"/>
          <w:kern w:val="0"/>
          <w:sz w:val="32"/>
          <w:szCs w:val="32"/>
        </w:rPr>
        <w:t>日向你单位</w:t>
      </w:r>
      <w:r>
        <w:rPr>
          <w:rFonts w:hint="eastAsia" w:eastAsia="仿宋_GB2312"/>
          <w:color w:val="auto"/>
          <w:kern w:val="0"/>
          <w:sz w:val="32"/>
          <w:szCs w:val="32"/>
          <w:lang w:val="en-US" w:eastAsia="zh-CN"/>
        </w:rPr>
        <w:t>直接</w:t>
      </w:r>
      <w:r>
        <w:rPr>
          <w:rFonts w:hint="eastAsia" w:eastAsia="仿宋_GB2312"/>
          <w:color w:val="auto"/>
          <w:kern w:val="0"/>
          <w:sz w:val="32"/>
          <w:szCs w:val="32"/>
        </w:rPr>
        <w:t>送达上述文件，你单位于当日签收。你单位逾期未向我局提出陈述申辩意见</w:t>
      </w:r>
      <w:r>
        <w:rPr>
          <w:rFonts w:hint="eastAsia" w:eastAsia="仿宋_GB2312" w:cs="Times New Roman"/>
          <w:color w:val="auto"/>
          <w:kern w:val="2"/>
          <w:sz w:val="32"/>
          <w:szCs w:val="32"/>
          <w:lang w:val="en-US" w:eastAsia="zh-CN" w:bidi="ar-SA"/>
        </w:rPr>
        <w:t>。</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告字〔20</w:t>
      </w:r>
      <w:r>
        <w:rPr>
          <w:rFonts w:hint="eastAsia" w:eastAsia="仿宋_GB2312"/>
          <w:color w:val="auto"/>
          <w:kern w:val="0"/>
          <w:sz w:val="32"/>
          <w:szCs w:val="32"/>
          <w:lang w:val="en-US" w:eastAsia="zh-CN"/>
        </w:rPr>
        <w:t>23</w:t>
      </w:r>
      <w:r>
        <w:rPr>
          <w:rFonts w:eastAsia="仿宋_GB2312"/>
          <w:color w:val="auto"/>
          <w:kern w:val="0"/>
          <w:sz w:val="32"/>
          <w:szCs w:val="32"/>
        </w:rPr>
        <w:t>〕</w:t>
      </w:r>
      <w:r>
        <w:rPr>
          <w:rFonts w:hint="eastAsia" w:eastAsia="仿宋_GB2312"/>
          <w:color w:val="auto"/>
          <w:kern w:val="0"/>
          <w:sz w:val="32"/>
          <w:szCs w:val="32"/>
          <w:lang w:val="en-US" w:eastAsia="zh-CN"/>
        </w:rPr>
        <w:t>40</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default" w:eastAsia="仿宋_GB2312"/>
          <w:color w:val="auto"/>
          <w:kern w:val="0"/>
          <w:sz w:val="32"/>
          <w:szCs w:val="32"/>
          <w:lang w:val="en-US" w:eastAsia="zh-CN"/>
        </w:rPr>
      </w:pPr>
      <w:r>
        <w:rPr>
          <w:rFonts w:hint="eastAsia" w:eastAsia="仿宋_GB2312"/>
          <w:color w:val="auto"/>
          <w:kern w:val="0"/>
          <w:sz w:val="32"/>
          <w:szCs w:val="32"/>
          <w:lang w:val="en-US" w:eastAsia="zh-CN"/>
        </w:rPr>
        <w:t>经集体审议，本案违法事实清楚、执法程序合法、法律适用准确、处罚幅度裁量合理。</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《中华人民共和国大气污染防治法》第一百一十四条第一款</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仿宋_GB2312"/>
          <w:color w:val="auto"/>
          <w:kern w:val="0"/>
          <w:sz w:val="32"/>
          <w:szCs w:val="32"/>
          <w:lang w:eastAsia="zh-CN"/>
        </w:rPr>
      </w:pPr>
      <w:r>
        <w:rPr>
          <w:rFonts w:eastAsia="仿宋_GB2312"/>
          <w:color w:val="auto"/>
          <w:kern w:val="0"/>
          <w:sz w:val="32"/>
          <w:szCs w:val="32"/>
        </w:rPr>
        <w:t>1.</w:t>
      </w:r>
      <w:r>
        <w:rPr>
          <w:rFonts w:hint="eastAsia" w:eastAsia="仿宋_GB2312"/>
          <w:color w:val="auto"/>
          <w:sz w:val="32"/>
          <w:szCs w:val="32"/>
          <w:lang w:val="en-US" w:eastAsia="zh-CN"/>
        </w:rPr>
        <w:t>责令你单位立即改正违法行为；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w:t>
      </w:r>
      <w:r>
        <w:rPr>
          <w:rFonts w:hint="eastAsia" w:eastAsia="仿宋_GB2312"/>
          <w:color w:val="auto"/>
          <w:kern w:val="0"/>
          <w:sz w:val="32"/>
          <w:szCs w:val="32"/>
          <w:lang w:eastAsia="zh-CN"/>
        </w:rPr>
        <w:t>对你单位</w:t>
      </w:r>
      <w:r>
        <w:rPr>
          <w:rFonts w:eastAsia="仿宋_GB2312"/>
          <w:color w:val="auto"/>
          <w:kern w:val="0"/>
          <w:sz w:val="32"/>
          <w:szCs w:val="32"/>
        </w:rPr>
        <w:t>处罚款</w:t>
      </w:r>
      <w:r>
        <w:rPr>
          <w:rFonts w:hint="eastAsia" w:eastAsia="仿宋_GB2312"/>
          <w:color w:val="auto"/>
          <w:kern w:val="0"/>
          <w:sz w:val="32"/>
          <w:szCs w:val="32"/>
          <w:lang w:val="en-US" w:eastAsia="zh-CN"/>
        </w:rPr>
        <w:t>五千</w:t>
      </w:r>
      <w:r>
        <w:rPr>
          <w:rFonts w:eastAsia="仿宋_GB2312"/>
          <w:color w:val="auto"/>
          <w:kern w:val="0"/>
          <w:sz w:val="32"/>
          <w:szCs w:val="32"/>
        </w:rPr>
        <w:t>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黑体"/>
          <w:color w:val="auto"/>
          <w:kern w:val="0"/>
          <w:sz w:val="32"/>
          <w:szCs w:val="32"/>
        </w:rPr>
      </w:pPr>
      <w:r>
        <w:rPr>
          <w:rFonts w:eastAsia="黑体"/>
          <w:color w:val="auto"/>
          <w:kern w:val="0"/>
          <w:sz w:val="32"/>
          <w:szCs w:val="32"/>
        </w:rPr>
        <w:t>三、</w:t>
      </w:r>
      <w:r>
        <w:rPr>
          <w:rFonts w:hint="eastAsia" w:eastAsia="黑体"/>
          <w:color w:val="auto"/>
          <w:kern w:val="0"/>
          <w:sz w:val="32"/>
          <w:szCs w:val="32"/>
        </w:rPr>
        <w:t>责令改正和</w:t>
      </w:r>
      <w:r>
        <w:rPr>
          <w:rFonts w:eastAsia="黑体"/>
          <w:color w:val="auto"/>
          <w:kern w:val="0"/>
          <w:sz w:val="32"/>
          <w:szCs w:val="32"/>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你单位应于接到本</w:t>
      </w:r>
      <w:r>
        <w:rPr>
          <w:rFonts w:hint="eastAsia" w:eastAsia="仿宋_GB2312"/>
          <w:color w:val="auto"/>
          <w:kern w:val="0"/>
          <w:sz w:val="32"/>
          <w:szCs w:val="32"/>
          <w:lang w:val="en-US" w:eastAsia="zh-CN"/>
        </w:rPr>
        <w:t>处罚</w:t>
      </w:r>
      <w:r>
        <w:rPr>
          <w:rFonts w:eastAsia="仿宋_GB2312"/>
          <w:color w:val="auto"/>
          <w:kern w:val="0"/>
          <w:sz w:val="32"/>
          <w:szCs w:val="32"/>
        </w:rPr>
        <w:t>决定书之日起</w:t>
      </w:r>
      <w:r>
        <w:rPr>
          <w:rFonts w:hint="eastAsia" w:eastAsia="仿宋_GB2312"/>
          <w:color w:val="auto"/>
          <w:kern w:val="0"/>
          <w:sz w:val="32"/>
          <w:szCs w:val="32"/>
          <w:lang w:val="en-US" w:eastAsia="zh-CN"/>
        </w:rPr>
        <w:t>立即</w:t>
      </w:r>
      <w:r>
        <w:rPr>
          <w:rFonts w:eastAsia="仿宋_GB2312"/>
          <w:color w:val="auto"/>
          <w:kern w:val="0"/>
          <w:sz w:val="32"/>
          <w:szCs w:val="32"/>
        </w:rPr>
        <w:t>改正违法行为</w:t>
      </w: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并</w:t>
      </w:r>
      <w:r>
        <w:rPr>
          <w:rFonts w:hint="eastAsia" w:eastAsia="仿宋_GB2312"/>
          <w:color w:val="auto"/>
          <w:kern w:val="0"/>
          <w:sz w:val="32"/>
          <w:szCs w:val="32"/>
          <w:lang w:eastAsia="zh-CN"/>
        </w:rPr>
        <w:t>使用尾气排放监测合格的非道路移动机械</w:t>
      </w:r>
      <w:r>
        <w:rPr>
          <w:rFonts w:eastAsia="仿宋_GB2312"/>
          <w:color w:val="auto"/>
          <w:kern w:val="0"/>
          <w:sz w:val="32"/>
          <w:szCs w:val="32"/>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ascii="楷体" w:hAnsi="楷体" w:eastAsia="楷体"/>
          <w:color w:val="auto"/>
          <w:kern w:val="0"/>
          <w:sz w:val="32"/>
          <w:szCs w:val="32"/>
        </w:rPr>
      </w:pPr>
      <w:r>
        <w:rPr>
          <w:rFonts w:ascii="楷体" w:hAnsi="楷体" w:eastAsia="楷体"/>
          <w:color w:val="auto"/>
          <w:kern w:val="0"/>
          <w:sz w:val="32"/>
          <w:szCs w:val="32"/>
        </w:rPr>
        <w:t>（二）关于</w:t>
      </w:r>
      <w:r>
        <w:rPr>
          <w:rFonts w:hint="eastAsia" w:ascii="楷体" w:hAnsi="楷体" w:eastAsia="楷体"/>
          <w:color w:val="auto"/>
          <w:kern w:val="0"/>
          <w:sz w:val="32"/>
          <w:szCs w:val="32"/>
          <w:lang w:eastAsia="zh-CN"/>
        </w:rPr>
        <w:t>处罚决定</w:t>
      </w:r>
      <w:r>
        <w:rPr>
          <w:rFonts w:ascii="楷体" w:hAnsi="楷体" w:eastAsia="楷体"/>
          <w:color w:val="auto"/>
          <w:kern w:val="0"/>
          <w:sz w:val="32"/>
          <w:szCs w:val="32"/>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《中华人民共和国行政处罚法》和《罚款决定与罚款收缴分离实施办法》的规定，你单位应于接到本处罚决定书之日起十五日内，到我局领取</w:t>
      </w:r>
      <w:r>
        <w:rPr>
          <w:rFonts w:hint="eastAsia" w:eastAsia="仿宋_GB2312"/>
          <w:color w:val="auto"/>
          <w:kern w:val="0"/>
          <w:sz w:val="32"/>
          <w:szCs w:val="32"/>
        </w:rPr>
        <w:t>《非税收入统一缴款书（缴款通知书）》</w:t>
      </w:r>
      <w:r>
        <w:rPr>
          <w:rFonts w:eastAsia="仿宋_GB2312"/>
          <w:color w:val="auto"/>
          <w:kern w:val="0"/>
          <w:sz w:val="32"/>
          <w:szCs w:val="32"/>
        </w:rPr>
        <w:t>并缴至指定银行。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依法每日按罚款数额的3%加处罚款。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720" w:firstLineChars="225"/>
        <w:jc w:val="both"/>
        <w:textAlignment w:val="auto"/>
        <w:rPr>
          <w:rFonts w:eastAsia="黑体"/>
          <w:color w:val="auto"/>
          <w:kern w:val="0"/>
          <w:sz w:val="32"/>
          <w:szCs w:val="32"/>
          <w:u w:val="single"/>
        </w:rPr>
      </w:pPr>
      <w:r>
        <w:rPr>
          <w:rFonts w:eastAsia="黑体"/>
          <w:color w:val="auto"/>
          <w:kern w:val="0"/>
          <w:sz w:val="32"/>
          <w:szCs w:val="32"/>
        </w:rPr>
        <w:t>四、申请行政复议或者提起行政诉讼的途径和期限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如对本处罚决定不服，可在收到本处罚决定书之日起六十日内向中华人民共和国生态环境部或者向天津市人民政府申请复议，也可在六个月内直接向天津铁路运输法院起诉。</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right="0" w:firstLine="640" w:firstLineChars="200"/>
        <w:jc w:val="both"/>
        <w:textAlignment w:val="auto"/>
        <w:rPr>
          <w:rFonts w:eastAsia="仿宋_GB2312"/>
          <w:color w:val="auto"/>
          <w:kern w:val="0"/>
          <w:sz w:val="32"/>
          <w:szCs w:val="32"/>
        </w:rPr>
      </w:pPr>
      <w:r>
        <w:rPr>
          <w:rFonts w:eastAsia="仿宋_GB2312"/>
          <w:color w:val="auto"/>
          <w:kern w:val="0"/>
          <w:sz w:val="32"/>
          <w:szCs w:val="32"/>
        </w:rPr>
        <w:t>申请行政复议或者提起行政诉讼，不停止行政处罚决定的执行。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right="0" w:firstLine="640" w:firstLineChars="200"/>
        <w:jc w:val="left"/>
        <w:textAlignment w:val="auto"/>
        <w:rPr>
          <w:rFonts w:eastAsia="仿宋_GB2312"/>
          <w:color w:val="auto"/>
          <w:kern w:val="0"/>
          <w:sz w:val="32"/>
          <w:szCs w:val="32"/>
        </w:rPr>
      </w:pPr>
      <w:r>
        <w:rPr>
          <w:rFonts w:eastAsia="仿宋_GB2312"/>
          <w:color w:val="auto"/>
          <w:kern w:val="0"/>
          <w:sz w:val="32"/>
          <w:szCs w:val="32"/>
        </w:rPr>
        <w:t>逾期</w:t>
      </w:r>
      <w:r>
        <w:rPr>
          <w:rFonts w:eastAsia="仿宋_GB2312"/>
          <w:color w:val="auto"/>
          <w:spacing w:val="1"/>
          <w:kern w:val="0"/>
          <w:sz w:val="32"/>
          <w:szCs w:val="32"/>
        </w:rPr>
        <w:t>不</w:t>
      </w:r>
      <w:r>
        <w:rPr>
          <w:rFonts w:eastAsia="仿宋_GB2312"/>
          <w:color w:val="auto"/>
          <w:kern w:val="0"/>
          <w:sz w:val="32"/>
          <w:szCs w:val="32"/>
        </w:rPr>
        <w:t>申</w:t>
      </w:r>
      <w:r>
        <w:rPr>
          <w:rFonts w:eastAsia="仿宋_GB2312"/>
          <w:color w:val="auto"/>
          <w:spacing w:val="1"/>
          <w:kern w:val="0"/>
          <w:sz w:val="32"/>
          <w:szCs w:val="32"/>
        </w:rPr>
        <w:t>请</w:t>
      </w:r>
      <w:r>
        <w:rPr>
          <w:rFonts w:eastAsia="仿宋_GB2312"/>
          <w:color w:val="auto"/>
          <w:kern w:val="0"/>
          <w:sz w:val="32"/>
          <w:szCs w:val="32"/>
        </w:rPr>
        <w:t>行政</w:t>
      </w:r>
      <w:r>
        <w:rPr>
          <w:rFonts w:eastAsia="仿宋_GB2312"/>
          <w:color w:val="auto"/>
          <w:spacing w:val="1"/>
          <w:kern w:val="0"/>
          <w:sz w:val="32"/>
          <w:szCs w:val="32"/>
        </w:rPr>
        <w:t>复</w:t>
      </w:r>
      <w:r>
        <w:rPr>
          <w:rFonts w:eastAsia="仿宋_GB2312"/>
          <w:color w:val="auto"/>
          <w:kern w:val="0"/>
          <w:sz w:val="32"/>
          <w:szCs w:val="32"/>
        </w:rPr>
        <w:t>议</w:t>
      </w:r>
      <w:r>
        <w:rPr>
          <w:rFonts w:eastAsia="仿宋_GB2312"/>
          <w:color w:val="auto"/>
          <w:spacing w:val="1"/>
          <w:kern w:val="0"/>
          <w:sz w:val="32"/>
          <w:szCs w:val="32"/>
        </w:rPr>
        <w:t>，</w:t>
      </w:r>
      <w:r>
        <w:rPr>
          <w:rFonts w:eastAsia="仿宋_GB2312"/>
          <w:color w:val="auto"/>
          <w:kern w:val="0"/>
          <w:sz w:val="32"/>
          <w:szCs w:val="32"/>
        </w:rPr>
        <w:t>不提</w:t>
      </w:r>
      <w:r>
        <w:rPr>
          <w:rFonts w:eastAsia="仿宋_GB2312"/>
          <w:color w:val="auto"/>
          <w:spacing w:val="1"/>
          <w:kern w:val="0"/>
          <w:sz w:val="32"/>
          <w:szCs w:val="32"/>
        </w:rPr>
        <w:t>起</w:t>
      </w:r>
      <w:r>
        <w:rPr>
          <w:rFonts w:eastAsia="仿宋_GB2312"/>
          <w:color w:val="auto"/>
          <w:kern w:val="0"/>
          <w:sz w:val="32"/>
          <w:szCs w:val="32"/>
        </w:rPr>
        <w:t>行</w:t>
      </w:r>
      <w:r>
        <w:rPr>
          <w:rFonts w:eastAsia="仿宋_GB2312"/>
          <w:color w:val="auto"/>
          <w:spacing w:val="1"/>
          <w:kern w:val="0"/>
          <w:sz w:val="32"/>
          <w:szCs w:val="32"/>
        </w:rPr>
        <w:t>政</w:t>
      </w:r>
      <w:r>
        <w:rPr>
          <w:rFonts w:eastAsia="仿宋_GB2312"/>
          <w:color w:val="auto"/>
          <w:kern w:val="0"/>
          <w:sz w:val="32"/>
          <w:szCs w:val="32"/>
        </w:rPr>
        <w:t>诉讼</w:t>
      </w:r>
      <w:r>
        <w:rPr>
          <w:rFonts w:eastAsia="仿宋_GB2312"/>
          <w:color w:val="auto"/>
          <w:spacing w:val="1"/>
          <w:kern w:val="0"/>
          <w:sz w:val="32"/>
          <w:szCs w:val="32"/>
        </w:rPr>
        <w:t>，</w:t>
      </w:r>
      <w:r>
        <w:rPr>
          <w:rFonts w:eastAsia="仿宋_GB2312"/>
          <w:color w:val="auto"/>
          <w:kern w:val="0"/>
          <w:sz w:val="32"/>
          <w:szCs w:val="32"/>
        </w:rPr>
        <w:t>又</w:t>
      </w:r>
      <w:r>
        <w:rPr>
          <w:rFonts w:eastAsia="仿宋_GB2312"/>
          <w:color w:val="auto"/>
          <w:spacing w:val="1"/>
          <w:kern w:val="0"/>
          <w:sz w:val="32"/>
          <w:szCs w:val="32"/>
        </w:rPr>
        <w:t>不</w:t>
      </w:r>
      <w:r>
        <w:rPr>
          <w:rFonts w:eastAsia="仿宋_GB2312"/>
          <w:color w:val="auto"/>
          <w:kern w:val="0"/>
          <w:sz w:val="32"/>
          <w:szCs w:val="32"/>
        </w:rPr>
        <w:t>履行</w:t>
      </w:r>
      <w:r>
        <w:rPr>
          <w:rFonts w:eastAsia="仿宋_GB2312"/>
          <w:color w:val="auto"/>
          <w:spacing w:val="1"/>
          <w:kern w:val="0"/>
          <w:sz w:val="32"/>
          <w:szCs w:val="32"/>
        </w:rPr>
        <w:t>本</w:t>
      </w:r>
      <w:r>
        <w:rPr>
          <w:rFonts w:eastAsia="仿宋_GB2312"/>
          <w:color w:val="auto"/>
          <w:kern w:val="0"/>
          <w:sz w:val="32"/>
          <w:szCs w:val="32"/>
        </w:rPr>
        <w:t>处</w:t>
      </w:r>
      <w:r>
        <w:rPr>
          <w:rFonts w:eastAsia="仿宋_GB2312"/>
          <w:color w:val="auto"/>
          <w:spacing w:val="1"/>
          <w:kern w:val="0"/>
          <w:sz w:val="32"/>
          <w:szCs w:val="32"/>
        </w:rPr>
        <w:t>罚</w:t>
      </w:r>
      <w:r>
        <w:rPr>
          <w:rFonts w:eastAsia="仿宋_GB2312"/>
          <w:color w:val="auto"/>
          <w:kern w:val="0"/>
          <w:sz w:val="32"/>
          <w:szCs w:val="32"/>
        </w:rPr>
        <w:t>决定</w:t>
      </w:r>
      <w:r>
        <w:rPr>
          <w:rFonts w:eastAsia="仿宋_GB2312"/>
          <w:color w:val="auto"/>
          <w:spacing w:val="1"/>
          <w:kern w:val="0"/>
          <w:sz w:val="32"/>
          <w:szCs w:val="32"/>
        </w:rPr>
        <w:t>的</w:t>
      </w:r>
      <w:r>
        <w:rPr>
          <w:rFonts w:eastAsia="仿宋_GB2312"/>
          <w:color w:val="auto"/>
          <w:kern w:val="0"/>
          <w:sz w:val="32"/>
          <w:szCs w:val="32"/>
        </w:rPr>
        <w:t>，</w:t>
      </w:r>
      <w:r>
        <w:rPr>
          <w:rFonts w:eastAsia="仿宋_GB2312"/>
          <w:color w:val="auto"/>
          <w:spacing w:val="1"/>
          <w:kern w:val="0"/>
          <w:sz w:val="32"/>
          <w:szCs w:val="32"/>
        </w:rPr>
        <w:t>我</w:t>
      </w:r>
      <w:r>
        <w:rPr>
          <w:rFonts w:eastAsia="仿宋_GB2312"/>
          <w:color w:val="auto"/>
          <w:kern w:val="0"/>
          <w:sz w:val="32"/>
          <w:szCs w:val="32"/>
        </w:rPr>
        <w:t>局将</w:t>
      </w:r>
      <w:r>
        <w:rPr>
          <w:rFonts w:eastAsia="仿宋_GB2312"/>
          <w:color w:val="auto"/>
          <w:spacing w:val="1"/>
          <w:kern w:val="0"/>
          <w:sz w:val="32"/>
          <w:szCs w:val="32"/>
        </w:rPr>
        <w:t>依</w:t>
      </w:r>
      <w:r>
        <w:rPr>
          <w:rFonts w:eastAsia="仿宋_GB2312"/>
          <w:color w:val="auto"/>
          <w:kern w:val="0"/>
          <w:sz w:val="32"/>
          <w:szCs w:val="32"/>
        </w:rPr>
        <w:t>法</w:t>
      </w:r>
      <w:r>
        <w:rPr>
          <w:rFonts w:eastAsia="仿宋_GB2312"/>
          <w:color w:val="auto"/>
          <w:spacing w:val="1"/>
          <w:kern w:val="0"/>
          <w:sz w:val="32"/>
          <w:szCs w:val="32"/>
        </w:rPr>
        <w:t>申</w:t>
      </w:r>
      <w:r>
        <w:rPr>
          <w:rFonts w:eastAsia="仿宋_GB2312"/>
          <w:color w:val="auto"/>
          <w:kern w:val="0"/>
          <w:sz w:val="32"/>
          <w:szCs w:val="32"/>
        </w:rPr>
        <w:t>请人</w:t>
      </w:r>
      <w:r>
        <w:rPr>
          <w:rFonts w:eastAsia="仿宋_GB2312"/>
          <w:color w:val="auto"/>
          <w:spacing w:val="1"/>
          <w:kern w:val="0"/>
          <w:sz w:val="32"/>
          <w:szCs w:val="32"/>
        </w:rPr>
        <w:t>民法</w:t>
      </w:r>
      <w:r>
        <w:rPr>
          <w:rFonts w:eastAsia="仿宋_GB2312"/>
          <w:color w:val="auto"/>
          <w:spacing w:val="2"/>
          <w:kern w:val="0"/>
          <w:sz w:val="32"/>
          <w:szCs w:val="32"/>
        </w:rPr>
        <w:t>院</w:t>
      </w:r>
      <w:r>
        <w:rPr>
          <w:rFonts w:eastAsia="仿宋_GB2312"/>
          <w:color w:val="auto"/>
          <w:spacing w:val="1"/>
          <w:kern w:val="0"/>
          <w:sz w:val="32"/>
          <w:szCs w:val="32"/>
        </w:rPr>
        <w:t>强</w:t>
      </w:r>
      <w:r>
        <w:rPr>
          <w:rFonts w:eastAsia="仿宋_GB2312"/>
          <w:color w:val="auto"/>
          <w:kern w:val="0"/>
          <w:sz w:val="32"/>
          <w:szCs w:val="32"/>
        </w:rPr>
        <w:t>制执行。</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56" w:lineRule="exact"/>
        <w:ind w:firstLine="640" w:firstLineChars="200"/>
        <w:jc w:val="both"/>
        <w:textAlignment w:val="auto"/>
        <w:rPr>
          <w:rFonts w:hint="eastAsia" w:eastAsia="黑体"/>
          <w:color w:val="auto"/>
          <w:kern w:val="0"/>
          <w:sz w:val="32"/>
          <w:szCs w:val="32"/>
          <w:lang w:val="en-US" w:eastAsia="zh-CN"/>
        </w:rPr>
      </w:pPr>
      <w:r>
        <w:rPr>
          <w:rFonts w:hint="eastAsia" w:eastAsia="黑体"/>
          <w:color w:val="auto"/>
          <w:kern w:val="0"/>
          <w:sz w:val="32"/>
          <w:szCs w:val="32"/>
          <w:lang w:val="en-US" w:eastAsia="zh-CN"/>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556" w:lineRule="exact"/>
        <w:ind w:right="0" w:firstLine="640" w:firstLineChars="200"/>
        <w:jc w:val="both"/>
        <w:textAlignment w:val="auto"/>
        <w:rPr>
          <w:rFonts w:eastAsia="仿宋_GB2312"/>
          <w:color w:val="auto"/>
          <w:kern w:val="0"/>
          <w:sz w:val="32"/>
          <w:szCs w:val="32"/>
        </w:rPr>
      </w:pPr>
      <w:r>
        <w:rPr>
          <w:rFonts w:hint="eastAsia" w:ascii="Times New Roman" w:hAnsi="Times New Roman" w:eastAsia="仿宋_GB2312" w:cs="Times New Roman"/>
          <w:color w:val="auto"/>
          <w:kern w:val="0"/>
          <w:sz w:val="32"/>
          <w:szCs w:val="32"/>
          <w:lang w:val="en-US" w:eastAsia="zh-CN"/>
        </w:rPr>
        <w:t>你单位自觉履行本行政处罚决定并完成相关整改工作后，可登录“信用中国（天津）”网站（https://credit.fzgg.tj.gov.cn/）信用服务-信用修复栏目自助开展行政处罚信用修复。修复后你单位上述行政处罚信息将在信用中国网站停止公示</w:t>
      </w:r>
      <w:r>
        <w:rPr>
          <w:rFonts w:hint="eastAsia" w:eastAsia="仿宋_GB2312" w:cs="Times New Roman"/>
          <w:color w:val="auto"/>
          <w:kern w:val="0"/>
          <w:sz w:val="32"/>
          <w:szCs w:val="32"/>
          <w:lang w:val="en-US" w:eastAsia="zh-CN"/>
        </w:rPr>
        <w:t>。</w:t>
      </w:r>
    </w:p>
    <w:p>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56" w:lineRule="exact"/>
        <w:ind w:right="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ind w:right="960" w:rightChars="400" w:firstLine="5120" w:firstLineChars="1600"/>
        <w:jc w:val="both"/>
        <w:textAlignment w:val="auto"/>
        <w:rPr>
          <w:rFonts w:eastAsia="仿宋_GB2312"/>
          <w:color w:val="auto"/>
          <w:kern w:val="0"/>
          <w:sz w:val="32"/>
          <w:szCs w:val="32"/>
        </w:rPr>
      </w:pPr>
      <w:bookmarkStart w:id="4" w:name="_GoBack"/>
      <w:bookmarkEnd w:id="4"/>
      <w:bookmarkStart w:id="3" w:name="PO_7_QianFaShiJian"/>
    </w:p>
    <w:p>
      <w:pPr>
        <w:keepNext w:val="0"/>
        <w:keepLines w:val="0"/>
        <w:pageBreakBefore w:val="0"/>
        <w:widowControl w:val="0"/>
        <w:kinsoku/>
        <w:wordWrap/>
        <w:overflowPunct/>
        <w:topLinePunct w:val="0"/>
        <w:autoSpaceDE/>
        <w:autoSpaceDN/>
        <w:bidi w:val="0"/>
        <w:adjustRightInd w:val="0"/>
        <w:snapToGrid w:val="0"/>
        <w:spacing w:line="556" w:lineRule="exact"/>
        <w:ind w:right="960" w:rightChars="400" w:firstLine="5120" w:firstLineChars="1600"/>
        <w:jc w:val="both"/>
        <w:textAlignment w:val="auto"/>
        <w:rPr>
          <w:rFonts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56" w:lineRule="exact"/>
        <w:ind w:right="960" w:rightChars="400" w:firstLine="5120" w:firstLineChars="1600"/>
        <w:jc w:val="both"/>
        <w:textAlignment w:val="auto"/>
        <w:rPr>
          <w:rFonts w:eastAsia="仿宋_GB2312"/>
          <w:color w:val="auto"/>
          <w:kern w:val="0"/>
          <w:sz w:val="32"/>
          <w:szCs w:val="32"/>
        </w:rPr>
      </w:pPr>
      <w:r>
        <w:rPr>
          <w:rFonts w:eastAsia="仿宋_GB2312"/>
          <w:color w:val="auto"/>
          <w:kern w:val="0"/>
          <w:sz w:val="32"/>
          <w:szCs w:val="32"/>
        </w:rPr>
        <w:t>20</w:t>
      </w:r>
      <w:r>
        <w:rPr>
          <w:rFonts w:hint="eastAsia" w:eastAsia="仿宋_GB2312"/>
          <w:color w:val="auto"/>
          <w:kern w:val="0"/>
          <w:sz w:val="32"/>
          <w:szCs w:val="32"/>
          <w:lang w:val="en-US" w:eastAsia="zh-CN"/>
        </w:rPr>
        <w:t>23</w:t>
      </w:r>
      <w:r>
        <w:rPr>
          <w:rFonts w:eastAsia="仿宋_GB2312"/>
          <w:color w:val="auto"/>
          <w:kern w:val="0"/>
          <w:sz w:val="32"/>
          <w:szCs w:val="32"/>
        </w:rPr>
        <w:t>年</w:t>
      </w:r>
      <w:r>
        <w:rPr>
          <w:rFonts w:hint="eastAsia" w:eastAsia="仿宋_GB2312"/>
          <w:color w:val="auto"/>
          <w:kern w:val="0"/>
          <w:sz w:val="32"/>
          <w:szCs w:val="32"/>
          <w:lang w:val="en-US" w:eastAsia="zh-CN"/>
        </w:rPr>
        <w:t>5</w:t>
      </w:r>
      <w:r>
        <w:rPr>
          <w:rFonts w:eastAsia="仿宋_GB2312"/>
          <w:color w:val="auto"/>
          <w:kern w:val="0"/>
          <w:sz w:val="32"/>
          <w:szCs w:val="32"/>
        </w:rPr>
        <w:t>月</w:t>
      </w:r>
      <w:bookmarkEnd w:id="3"/>
      <w:r>
        <w:rPr>
          <w:rFonts w:hint="eastAsia" w:eastAsia="仿宋_GB2312"/>
          <w:color w:val="auto"/>
          <w:kern w:val="0"/>
          <w:sz w:val="32"/>
          <w:szCs w:val="32"/>
          <w:lang w:val="en-US" w:eastAsia="zh-CN"/>
        </w:rPr>
        <w:t>31</w:t>
      </w:r>
      <w:r>
        <w:rPr>
          <w:rFonts w:eastAsia="仿宋_GB2312"/>
          <w:color w:val="auto"/>
          <w:kern w:val="0"/>
          <w:sz w:val="32"/>
          <w:szCs w:val="32"/>
        </w:rPr>
        <w:t>日</w:t>
      </w:r>
    </w:p>
    <w:p>
      <w:pPr>
        <w:keepNext w:val="0"/>
        <w:keepLines w:val="0"/>
        <w:pageBreakBefore w:val="0"/>
        <w:widowControl w:val="0"/>
        <w:tabs>
          <w:tab w:val="left" w:pos="9120"/>
        </w:tabs>
        <w:kinsoku/>
        <w:wordWrap/>
        <w:overflowPunct/>
        <w:topLinePunct w:val="0"/>
        <w:autoSpaceDE w:val="0"/>
        <w:autoSpaceDN w:val="0"/>
        <w:bidi w:val="0"/>
        <w:adjustRightInd w:val="0"/>
        <w:spacing w:line="556" w:lineRule="exact"/>
        <w:ind w:right="120"/>
        <w:textAlignment w:val="auto"/>
        <w:rPr>
          <w:rFonts w:eastAsia="仿宋_GB2312"/>
          <w:color w:val="auto"/>
          <w:kern w:val="0"/>
          <w:sz w:val="28"/>
          <w:szCs w:val="28"/>
        </w:rPr>
      </w:pPr>
    </w:p>
    <w:p>
      <w:pPr>
        <w:keepNext w:val="0"/>
        <w:keepLines w:val="0"/>
        <w:pageBreakBefore w:val="0"/>
        <w:widowControl w:val="0"/>
        <w:tabs>
          <w:tab w:val="left" w:pos="9120"/>
        </w:tabs>
        <w:kinsoku/>
        <w:wordWrap/>
        <w:overflowPunct/>
        <w:topLinePunct w:val="0"/>
        <w:autoSpaceDE w:val="0"/>
        <w:autoSpaceDN w:val="0"/>
        <w:bidi w:val="0"/>
        <w:adjustRightInd w:val="0"/>
        <w:spacing w:line="556" w:lineRule="exact"/>
        <w:ind w:right="120"/>
        <w:textAlignment w:val="auto"/>
        <w:rPr>
          <w:rFonts w:eastAsia="仿宋_GB2312"/>
          <w:color w:val="auto"/>
          <w:kern w:val="0"/>
          <w:sz w:val="28"/>
          <w:szCs w:val="28"/>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5" w:type="default"/>
      <w:headerReference r:id="rId4" w:type="even"/>
      <w:pgSz w:w="11907" w:h="16840" w:orient="landscape"/>
      <w:pgMar w:top="2098" w:right="1474" w:bottom="1985"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pStyle w:val="6"/>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ZGY3YWJhNWE4NTE5YzZjNTNlNGUxM2ZjZjEwOGYifQ=="/>
  </w:docVars>
  <w:rsids>
    <w:rsidRoot w:val="78B6471C"/>
    <w:rsid w:val="00010AA6"/>
    <w:rsid w:val="000204AC"/>
    <w:rsid w:val="00043334"/>
    <w:rsid w:val="000657F1"/>
    <w:rsid w:val="0009025B"/>
    <w:rsid w:val="00095A17"/>
    <w:rsid w:val="000D6F4A"/>
    <w:rsid w:val="000E35AD"/>
    <w:rsid w:val="0010341C"/>
    <w:rsid w:val="00121857"/>
    <w:rsid w:val="0013098D"/>
    <w:rsid w:val="0013559F"/>
    <w:rsid w:val="00140468"/>
    <w:rsid w:val="00152183"/>
    <w:rsid w:val="00157F83"/>
    <w:rsid w:val="00173A1F"/>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92BE0"/>
    <w:rsid w:val="002D34A1"/>
    <w:rsid w:val="002E443D"/>
    <w:rsid w:val="003057A3"/>
    <w:rsid w:val="0033687D"/>
    <w:rsid w:val="00343837"/>
    <w:rsid w:val="00353614"/>
    <w:rsid w:val="003658E2"/>
    <w:rsid w:val="003A15F8"/>
    <w:rsid w:val="003A1FCB"/>
    <w:rsid w:val="003B1577"/>
    <w:rsid w:val="003C05F1"/>
    <w:rsid w:val="003C45C3"/>
    <w:rsid w:val="003C4CF8"/>
    <w:rsid w:val="003D74C6"/>
    <w:rsid w:val="003E1E96"/>
    <w:rsid w:val="003E474C"/>
    <w:rsid w:val="003F2EA1"/>
    <w:rsid w:val="00417624"/>
    <w:rsid w:val="00432C4D"/>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45722"/>
    <w:rsid w:val="00850EF1"/>
    <w:rsid w:val="008778D2"/>
    <w:rsid w:val="008874CB"/>
    <w:rsid w:val="00895089"/>
    <w:rsid w:val="008A66F0"/>
    <w:rsid w:val="008B4839"/>
    <w:rsid w:val="008B6497"/>
    <w:rsid w:val="008E0B8C"/>
    <w:rsid w:val="008F1113"/>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02D8"/>
    <w:rsid w:val="00A85133"/>
    <w:rsid w:val="00A8786C"/>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D056EC"/>
    <w:rsid w:val="00D063E3"/>
    <w:rsid w:val="00D1024B"/>
    <w:rsid w:val="00D13861"/>
    <w:rsid w:val="00D15117"/>
    <w:rsid w:val="00D21D1B"/>
    <w:rsid w:val="00D26915"/>
    <w:rsid w:val="00D2707E"/>
    <w:rsid w:val="00D31EDD"/>
    <w:rsid w:val="00D71E35"/>
    <w:rsid w:val="00D936DC"/>
    <w:rsid w:val="00D95AE8"/>
    <w:rsid w:val="00DA3404"/>
    <w:rsid w:val="00DA5D19"/>
    <w:rsid w:val="00DE1676"/>
    <w:rsid w:val="00DF22E2"/>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674B8"/>
    <w:rsid w:val="00F73398"/>
    <w:rsid w:val="00F97257"/>
    <w:rsid w:val="00FA0003"/>
    <w:rsid w:val="00FA2B76"/>
    <w:rsid w:val="00FB25AA"/>
    <w:rsid w:val="00FB4879"/>
    <w:rsid w:val="00FC14FB"/>
    <w:rsid w:val="00FD09D1"/>
    <w:rsid w:val="00FE5FB8"/>
    <w:rsid w:val="04564EA5"/>
    <w:rsid w:val="047D7869"/>
    <w:rsid w:val="04CF2504"/>
    <w:rsid w:val="075524D7"/>
    <w:rsid w:val="07B93B0C"/>
    <w:rsid w:val="080406C2"/>
    <w:rsid w:val="08A676E1"/>
    <w:rsid w:val="09114283"/>
    <w:rsid w:val="0BEA4C5E"/>
    <w:rsid w:val="14A22454"/>
    <w:rsid w:val="16FC790A"/>
    <w:rsid w:val="173B33C8"/>
    <w:rsid w:val="1A3F25F1"/>
    <w:rsid w:val="1B552996"/>
    <w:rsid w:val="1BC26D67"/>
    <w:rsid w:val="1C142188"/>
    <w:rsid w:val="1CC54CEB"/>
    <w:rsid w:val="1F6A3919"/>
    <w:rsid w:val="1F77353F"/>
    <w:rsid w:val="21F161FB"/>
    <w:rsid w:val="2378242F"/>
    <w:rsid w:val="25735D76"/>
    <w:rsid w:val="26162D5B"/>
    <w:rsid w:val="27FC4468"/>
    <w:rsid w:val="2ABE5B1A"/>
    <w:rsid w:val="2D5A027B"/>
    <w:rsid w:val="2E2D1CD7"/>
    <w:rsid w:val="2E7E4B4C"/>
    <w:rsid w:val="2F096FCE"/>
    <w:rsid w:val="312C04D9"/>
    <w:rsid w:val="3BA70B39"/>
    <w:rsid w:val="3C7636AF"/>
    <w:rsid w:val="3CFC232D"/>
    <w:rsid w:val="3E516742"/>
    <w:rsid w:val="42BA1DF9"/>
    <w:rsid w:val="42C3487C"/>
    <w:rsid w:val="442F10A5"/>
    <w:rsid w:val="46843426"/>
    <w:rsid w:val="473A0DD5"/>
    <w:rsid w:val="47C66189"/>
    <w:rsid w:val="4A263D9A"/>
    <w:rsid w:val="4CA7559F"/>
    <w:rsid w:val="4D6435C2"/>
    <w:rsid w:val="4DF56AA7"/>
    <w:rsid w:val="51935037"/>
    <w:rsid w:val="521C5B03"/>
    <w:rsid w:val="53767495"/>
    <w:rsid w:val="5794182D"/>
    <w:rsid w:val="586D4E7F"/>
    <w:rsid w:val="58DF7B75"/>
    <w:rsid w:val="5A4853C7"/>
    <w:rsid w:val="5B5C731D"/>
    <w:rsid w:val="5B5F0312"/>
    <w:rsid w:val="5C9F4A39"/>
    <w:rsid w:val="5DD022F3"/>
    <w:rsid w:val="5ECD3BB6"/>
    <w:rsid w:val="61787F41"/>
    <w:rsid w:val="63EC73E1"/>
    <w:rsid w:val="65465834"/>
    <w:rsid w:val="6AEC59B8"/>
    <w:rsid w:val="6B1F7E37"/>
    <w:rsid w:val="6C1C590D"/>
    <w:rsid w:val="7110787A"/>
    <w:rsid w:val="71F76391"/>
    <w:rsid w:val="743631A3"/>
    <w:rsid w:val="759748AE"/>
    <w:rsid w:val="76716923"/>
    <w:rsid w:val="76A05966"/>
    <w:rsid w:val="773B2B2B"/>
    <w:rsid w:val="7776441B"/>
    <w:rsid w:val="78B6471C"/>
    <w:rsid w:val="78D17E30"/>
    <w:rsid w:val="7B8C18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4">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5">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6">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rPr>
  </w:style>
  <w:style w:type="paragraph" w:styleId="7">
    <w:name w:val="Balloon Text"/>
    <w:basedOn w:val="1"/>
    <w:link w:val="13"/>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7"/>
    <w:qFormat/>
    <w:uiPriority w:val="0"/>
    <w:rPr>
      <w:kern w:val="2"/>
      <w:sz w:val="18"/>
      <w:szCs w:val="18"/>
    </w:rPr>
  </w:style>
  <w:style w:type="character" w:customStyle="1" w:styleId="14">
    <w:name w:val="页脚 字符"/>
    <w:link w:val="8"/>
    <w:qFormat/>
    <w:uiPriority w:val="99"/>
    <w:rPr>
      <w:kern w:val="2"/>
      <w:sz w:val="18"/>
      <w:szCs w:val="18"/>
    </w:rPr>
  </w:style>
  <w:style w:type="paragraph" w:customStyle="1" w:styleId="15">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6495;2022.4&#26356;&#26032;\&#34892;&#25919;&#22788;&#32602;&#20915;&#23450;&#20070;&#65288;&#26410;&#21548;&#35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行政处罚决定书（未听证）.dot</Template>
  <Pages>4</Pages>
  <Words>1754</Words>
  <Characters>1966</Characters>
  <Lines>8</Lines>
  <Paragraphs>2</Paragraphs>
  <TotalTime>12</TotalTime>
  <ScaleCrop>false</ScaleCrop>
  <LinksUpToDate>false</LinksUpToDate>
  <CharactersWithSpaces>1990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2022-05-24T07:12:00Z</dcterms:created>
  <dc:creator>唐大果果</dc:creator>
  <cp:lastModifiedBy>孙国力</cp:lastModifiedBy>
  <cp:lastPrinted>2023-06-02T07:56:00Z</cp:lastPrinted>
  <dcterms:modified xsi:type="dcterms:W3CDTF">2023-06-06T01:36:39Z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730E82EB171946218D567F6F085AA7F6</vt:lpwstr>
  </property>
</Properties>
</file>