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both"/>
        <w:textAlignment w:val="auto"/>
        <w:rPr>
          <w:rFonts w:eastAsia="仿宋_GB2312"/>
          <w:color w:val="auto"/>
          <w:spacing w:val="1"/>
          <w:kern w:val="0"/>
          <w:position w:val="-2"/>
          <w:sz w:val="32"/>
          <w:szCs w:val="32"/>
        </w:rPr>
      </w:pPr>
    </w:p>
    <w:p>
      <w:pPr>
        <w:tabs>
          <w:tab w:val="left" w:pos="4600"/>
        </w:tabs>
        <w:autoSpaceDE w:val="0"/>
        <w:autoSpaceDN w:val="0"/>
        <w:adjustRightInd w:val="0"/>
        <w:snapToGrid w:val="0"/>
        <w:spacing w:line="360" w:lineRule="auto"/>
        <w:ind w:right="-119"/>
        <w:jc w:val="center"/>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环罚字</w:t>
      </w:r>
      <w:bookmarkStart w:id="2" w:name="PO_7_NianDuBianHao"/>
      <w:r>
        <w:rPr>
          <w:rFonts w:eastAsia="仿宋_GB2312"/>
          <w:color w:val="auto"/>
          <w:kern w:val="0"/>
          <w:position w:val="-2"/>
          <w:sz w:val="32"/>
          <w:szCs w:val="32"/>
        </w:rPr>
        <w:t>〔20</w:t>
      </w:r>
      <w:bookmarkEnd w:id="2"/>
      <w:r>
        <w:rPr>
          <w:rFonts w:hint="eastAsia" w:eastAsia="仿宋_GB2312"/>
          <w:color w:val="auto"/>
          <w:kern w:val="0"/>
          <w:position w:val="-2"/>
          <w:sz w:val="32"/>
          <w:szCs w:val="32"/>
          <w:lang w:val="en-US" w:eastAsia="zh-CN"/>
        </w:rPr>
        <w:t>23</w:t>
      </w:r>
      <w:r>
        <w:rPr>
          <w:rFonts w:eastAsia="仿宋_GB2312"/>
          <w:color w:val="auto"/>
          <w:kern w:val="0"/>
          <w:position w:val="-2"/>
          <w:sz w:val="32"/>
          <w:szCs w:val="32"/>
        </w:rPr>
        <w:t>〕</w:t>
      </w:r>
      <w:r>
        <w:rPr>
          <w:rFonts w:hint="eastAsia" w:eastAsia="仿宋_GB2312"/>
          <w:color w:val="auto"/>
          <w:kern w:val="0"/>
          <w:sz w:val="32"/>
          <w:szCs w:val="32"/>
          <w:lang w:val="en-US" w:eastAsia="zh-CN"/>
        </w:rPr>
        <w:t>58</w:t>
      </w:r>
      <w:r>
        <w:rPr>
          <w:rFonts w:eastAsia="仿宋_GB2312"/>
          <w:color w:val="auto"/>
          <w:kern w:val="0"/>
          <w:position w:val="-2"/>
          <w:sz w:val="32"/>
          <w:szCs w:val="32"/>
        </w:rPr>
        <w:t>号</w:t>
      </w:r>
    </w:p>
    <w:p>
      <w:pPr>
        <w:tabs>
          <w:tab w:val="left" w:pos="4600"/>
        </w:tabs>
        <w:autoSpaceDE w:val="0"/>
        <w:autoSpaceDN w:val="0"/>
        <w:adjustRightInd w:val="0"/>
        <w:snapToGrid w:val="0"/>
        <w:spacing w:line="360" w:lineRule="auto"/>
        <w:ind w:right="-119"/>
        <w:jc w:val="center"/>
        <w:rPr>
          <w:rFonts w:eastAsia="仿宋_GB2312"/>
          <w:color w:val="auto"/>
          <w:kern w:val="0"/>
          <w:position w:val="-2"/>
          <w:sz w:val="32"/>
          <w:szCs w:val="32"/>
        </w:rPr>
      </w:pP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20" w:lineRule="exact"/>
        <w:jc w:val="left"/>
        <w:textAlignment w:val="auto"/>
        <w:rPr>
          <w:rFonts w:hint="eastAsia" w:eastAsia="仿宋_GB2312"/>
          <w:color w:val="auto"/>
          <w:kern w:val="0"/>
          <w:sz w:val="32"/>
          <w:szCs w:val="32"/>
        </w:rPr>
      </w:pPr>
      <w:r>
        <w:rPr>
          <w:rFonts w:hint="eastAsia" w:eastAsia="仿宋_GB2312"/>
          <w:color w:val="auto"/>
          <w:kern w:val="0"/>
          <w:sz w:val="32"/>
          <w:szCs w:val="32"/>
          <w:lang w:val="en-US" w:eastAsia="zh-CN"/>
        </w:rPr>
        <w:t>天津市皓隆餐具有限公司：</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20" w:lineRule="exact"/>
        <w:jc w:val="both"/>
        <w:textAlignment w:val="auto"/>
        <w:rPr>
          <w:rFonts w:hint="eastAsia" w:eastAsia="仿宋_GB2312"/>
          <w:color w:val="auto"/>
          <w:kern w:val="0"/>
          <w:sz w:val="32"/>
          <w:szCs w:val="32"/>
          <w:lang w:val="en-US" w:eastAsia="zh-CN"/>
        </w:rPr>
      </w:pPr>
      <w:r>
        <w:rPr>
          <w:rFonts w:eastAsia="仿宋_GB2312"/>
          <w:color w:val="auto"/>
          <w:kern w:val="0"/>
          <w:sz w:val="32"/>
          <w:szCs w:val="32"/>
        </w:rPr>
        <w:t>统一社会信用代码：</w:t>
      </w:r>
      <w:r>
        <w:rPr>
          <w:rFonts w:hint="eastAsia" w:eastAsia="仿宋_GB2312"/>
          <w:color w:val="auto"/>
          <w:kern w:val="0"/>
          <w:sz w:val="32"/>
          <w:szCs w:val="32"/>
          <w:lang w:val="en-US" w:eastAsia="zh-CN"/>
        </w:rPr>
        <w:t>91120112MA073BRG2L</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20" w:lineRule="exact"/>
        <w:jc w:val="both"/>
        <w:textAlignment w:val="auto"/>
        <w:rPr>
          <w:rFonts w:hint="eastAsia" w:eastAsia="仿宋_GB2312"/>
          <w:color w:val="auto"/>
          <w:kern w:val="0"/>
          <w:sz w:val="32"/>
          <w:szCs w:val="32"/>
          <w:lang w:val="en-US" w:eastAsia="zh-CN"/>
        </w:rPr>
      </w:pPr>
      <w:r>
        <w:rPr>
          <w:rFonts w:eastAsia="仿宋_GB2312"/>
          <w:color w:val="auto"/>
          <w:kern w:val="0"/>
          <w:sz w:val="32"/>
          <w:szCs w:val="32"/>
        </w:rPr>
        <w:t>地址：</w:t>
      </w:r>
      <w:r>
        <w:rPr>
          <w:rFonts w:hint="eastAsia" w:eastAsia="仿宋_GB2312"/>
          <w:color w:val="auto"/>
          <w:kern w:val="0"/>
          <w:sz w:val="32"/>
          <w:szCs w:val="32"/>
          <w:lang w:eastAsia="zh-CN"/>
        </w:rPr>
        <w:t>天</w:t>
      </w:r>
      <w:r>
        <w:rPr>
          <w:rFonts w:hint="eastAsia" w:eastAsia="仿宋_GB2312"/>
          <w:color w:val="auto"/>
          <w:kern w:val="0"/>
          <w:sz w:val="32"/>
          <w:szCs w:val="32"/>
          <w:lang w:val="en-US" w:eastAsia="zh-CN"/>
        </w:rPr>
        <w:t>津市津南区小站镇工业园区4号路12号2、3栋厂房</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20" w:lineRule="exact"/>
        <w:jc w:val="both"/>
        <w:textAlignment w:val="auto"/>
        <w:rPr>
          <w:rFonts w:hint="eastAsia" w:eastAsia="仿宋_GB2312"/>
          <w:color w:val="auto"/>
          <w:kern w:val="0"/>
          <w:sz w:val="32"/>
          <w:szCs w:val="32"/>
          <w:lang w:eastAsia="zh-CN"/>
        </w:rPr>
      </w:pPr>
      <w:r>
        <w:rPr>
          <w:rFonts w:hint="eastAsia" w:eastAsia="仿宋_GB2312"/>
          <w:color w:val="auto"/>
          <w:kern w:val="0"/>
          <w:sz w:val="32"/>
          <w:szCs w:val="32"/>
          <w:lang w:eastAsia="zh-CN"/>
        </w:rPr>
        <w:t>法定代表人：</w:t>
      </w:r>
      <w:r>
        <w:rPr>
          <w:rFonts w:hint="eastAsia" w:eastAsia="仿宋_GB2312"/>
          <w:color w:val="auto"/>
          <w:kern w:val="0"/>
          <w:sz w:val="32"/>
          <w:szCs w:val="32"/>
          <w:lang w:val="en-US" w:eastAsia="zh-CN"/>
        </w:rPr>
        <w:t>杨文山</w:t>
      </w:r>
      <w:bookmarkStart w:id="4" w:name="_GoBack"/>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w:t>
      </w:r>
      <w:r>
        <w:rPr>
          <w:rFonts w:hint="eastAsia" w:eastAsia="仿宋_GB2312"/>
          <w:color w:val="auto"/>
          <w:kern w:val="0"/>
          <w:sz w:val="32"/>
          <w:szCs w:val="32"/>
          <w:lang w:eastAsia="zh-CN"/>
        </w:rPr>
        <w:t>单位</w:t>
      </w:r>
      <w:r>
        <w:rPr>
          <w:rFonts w:eastAsia="仿宋_GB2312"/>
          <w:color w:val="auto"/>
          <w:kern w:val="0"/>
          <w:sz w:val="32"/>
          <w:szCs w:val="32"/>
        </w:rPr>
        <w:t>环境违法</w:t>
      </w:r>
      <w:r>
        <w:rPr>
          <w:rFonts w:eastAsia="仿宋_GB2312"/>
          <w:color w:val="auto"/>
          <w:kern w:val="0"/>
          <w:position w:val="-2"/>
          <w:sz w:val="32"/>
          <w:szCs w:val="32"/>
        </w:rPr>
        <w:t>一案，我局经调查，现已审查终结。</w:t>
      </w:r>
    </w:p>
    <w:bookmarkEnd w:id="4"/>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我局于2023年2月21日对你单位进行了检查，参考你单位使用的《天津隆喜餐具有限公司年产不锈钢餐具、器皿200万打项目建设项目环境影响报告表》，你单位餐具生产工艺流程为：机加工-锻造-研磨-抛光-清洗-检验-包装，其中清洗工序使用三氯乙烯清洗剂。经调查，发现你单位实施了以下环境违法行为：</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现场检查时，你单位车间内有1条清洗生产线正在生产，清洗生产线未按照规定安装VOCs废气收集处理系统，清洗过程中产生的有机废气无组织排放至车间，执法人员经现场使用TY2000-D型VOC/有毒有害气体检测仪进行监测，该清洗生产线产生的含挥发性有机物废气无组织排放浓度瞬时值达到627.6ppm。按照《挥发性有机物无组织排放控制标准》（GB37822-2019）中相关要求“7.2.1VOCs质量占比大于等于10%的含VOCs产品,其使用过程应采用密闭设备或在密闭空间内操作，废气应排至VOCs废气收集处理系统；无法密闭的，应采取局部气体收集措施，废气应排至VOCs废气收集处理系统”。根据你单位提供的《三氯乙烯成品（桶货）检验报告单》《销货单》显示，你单位使用的清洗剂三氯乙烯质量占比大于等于99.98%。你单位上述行为属于产生含挥发性有机物废气的生产和服务活动未按照规定安装污染防治设施。</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以上事实，有《天津市生态环境局现场检查（勘察）笔录》《天津市生态环境局调查询问笔录》《挥发性有机物无组织排放控制标准》（GB37822-2019）、你单位提供的《天津隆喜餐具有限公司年产不锈钢餐具、器皿200万打项目建设项目环境影响报告表》《三氯乙烯成品（桶货）检验报告单》《销货单》、现场拍摄的视频以及营业执照复印件等证据为凭。</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eastAsia="仿宋_GB2312"/>
          <w:color w:val="auto"/>
          <w:kern w:val="0"/>
          <w:sz w:val="32"/>
          <w:szCs w:val="32"/>
        </w:rPr>
      </w:pPr>
      <w:r>
        <w:rPr>
          <w:rFonts w:eastAsia="仿宋_GB2312"/>
          <w:color w:val="auto"/>
          <w:sz w:val="32"/>
          <w:szCs w:val="32"/>
        </w:rPr>
        <w:t>你单位上述行为违反了</w:t>
      </w:r>
      <w:r>
        <w:rPr>
          <w:rFonts w:hint="default" w:eastAsia="仿宋_GB2312"/>
          <w:color w:val="auto"/>
          <w:sz w:val="32"/>
          <w:szCs w:val="32"/>
          <w:lang w:val="en-US" w:eastAsia="zh-CN"/>
        </w:rPr>
        <w:t>《中华人民共和国大气污染防治法》第四十五条的规定</w:t>
      </w:r>
      <w:r>
        <w:rPr>
          <w:rFonts w:hint="eastAsia" w:eastAsia="仿宋_GB2312"/>
          <w:color w:val="auto"/>
          <w:sz w:val="32"/>
          <w:szCs w:val="32"/>
          <w:lang w:eastAsia="zh-CN"/>
        </w:rPr>
        <w:t>，</w:t>
      </w:r>
      <w:r>
        <w:rPr>
          <w:rFonts w:eastAsia="仿宋_GB2312"/>
          <w:color w:val="auto"/>
          <w:kern w:val="0"/>
          <w:sz w:val="32"/>
          <w:szCs w:val="32"/>
        </w:rPr>
        <w:t>依法应当予以处罚。</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eastAsia="仿宋_GB2312"/>
          <w:color w:val="auto"/>
          <w:kern w:val="0"/>
          <w:sz w:val="32"/>
          <w:szCs w:val="32"/>
        </w:rPr>
      </w:pPr>
      <w:r>
        <w:rPr>
          <w:rFonts w:eastAsia="仿宋_GB2312"/>
          <w:color w:val="auto"/>
          <w:kern w:val="0"/>
          <w:sz w:val="32"/>
          <w:szCs w:val="32"/>
        </w:rPr>
        <w:t>我局于20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3</w:t>
      </w:r>
      <w:r>
        <w:rPr>
          <w:rFonts w:eastAsia="仿宋_GB2312"/>
          <w:color w:val="auto"/>
          <w:kern w:val="0"/>
          <w:sz w:val="32"/>
          <w:szCs w:val="32"/>
        </w:rPr>
        <w:t>月</w:t>
      </w:r>
      <w:r>
        <w:rPr>
          <w:rFonts w:hint="eastAsia" w:eastAsia="仿宋_GB2312"/>
          <w:color w:val="auto"/>
          <w:kern w:val="0"/>
          <w:sz w:val="32"/>
          <w:szCs w:val="32"/>
          <w:lang w:val="en-US" w:eastAsia="zh-CN"/>
        </w:rPr>
        <w:t>21</w:t>
      </w:r>
      <w:r>
        <w:rPr>
          <w:rFonts w:eastAsia="仿宋_GB2312"/>
          <w:color w:val="auto"/>
          <w:kern w:val="0"/>
          <w:sz w:val="32"/>
          <w:szCs w:val="32"/>
        </w:rPr>
        <w:t>日以《天津市生态环境局行政处罚</w:t>
      </w:r>
      <w:r>
        <w:rPr>
          <w:rFonts w:hint="eastAsia" w:eastAsia="仿宋_GB2312"/>
          <w:color w:val="auto"/>
          <w:kern w:val="0"/>
          <w:sz w:val="32"/>
          <w:szCs w:val="32"/>
          <w:lang w:eastAsia="zh-CN"/>
        </w:rPr>
        <w:t>听证</w:t>
      </w:r>
      <w:r>
        <w:rPr>
          <w:rFonts w:eastAsia="仿宋_GB2312"/>
          <w:color w:val="auto"/>
          <w:kern w:val="0"/>
          <w:sz w:val="32"/>
          <w:szCs w:val="32"/>
        </w:rPr>
        <w:t>告知书》（津市环</w:t>
      </w:r>
      <w:r>
        <w:rPr>
          <w:rFonts w:hint="eastAsia" w:eastAsia="仿宋_GB2312"/>
          <w:color w:val="auto"/>
          <w:kern w:val="0"/>
          <w:sz w:val="32"/>
          <w:szCs w:val="32"/>
          <w:lang w:eastAsia="zh-CN"/>
        </w:rPr>
        <w:t>听</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24</w:t>
      </w:r>
      <w:r>
        <w:rPr>
          <w:rFonts w:eastAsia="仿宋_GB2312"/>
          <w:color w:val="auto"/>
          <w:kern w:val="0"/>
          <w:sz w:val="32"/>
          <w:szCs w:val="32"/>
        </w:rPr>
        <w:t>号），告知你单位违法事实、处罚依据和拟作出的处罚决定，并明确告知你单位有权进行陈述申辩</w:t>
      </w:r>
      <w:r>
        <w:rPr>
          <w:rFonts w:hint="eastAsia" w:eastAsia="仿宋_GB2312"/>
          <w:color w:val="auto"/>
          <w:kern w:val="0"/>
          <w:sz w:val="32"/>
          <w:szCs w:val="32"/>
          <w:lang w:eastAsia="zh-CN"/>
        </w:rPr>
        <w:t>、申请听证</w:t>
      </w:r>
      <w:r>
        <w:rPr>
          <w:rFonts w:eastAsia="仿宋_GB2312"/>
          <w:color w:val="auto"/>
          <w:kern w:val="0"/>
          <w:sz w:val="32"/>
          <w:szCs w:val="32"/>
        </w:rPr>
        <w:t>。</w:t>
      </w:r>
      <w:r>
        <w:rPr>
          <w:rFonts w:hint="eastAsia" w:eastAsia="仿宋_GB2312"/>
          <w:color w:val="auto"/>
          <w:kern w:val="0"/>
          <w:sz w:val="32"/>
          <w:szCs w:val="32"/>
        </w:rPr>
        <w:t>我局于20</w:t>
      </w:r>
      <w:r>
        <w:rPr>
          <w:rFonts w:hint="eastAsia" w:eastAsia="仿宋_GB2312"/>
          <w:color w:val="auto"/>
          <w:kern w:val="0"/>
          <w:sz w:val="32"/>
          <w:szCs w:val="32"/>
          <w:lang w:val="en-US" w:eastAsia="zh-CN"/>
        </w:rPr>
        <w:t>23</w:t>
      </w:r>
      <w:r>
        <w:rPr>
          <w:rFonts w:hint="eastAsia" w:eastAsia="仿宋_GB2312"/>
          <w:color w:val="auto"/>
          <w:kern w:val="0"/>
          <w:sz w:val="32"/>
          <w:szCs w:val="32"/>
        </w:rPr>
        <w:t>年</w:t>
      </w:r>
      <w:r>
        <w:rPr>
          <w:rFonts w:hint="eastAsia" w:eastAsia="仿宋_GB2312"/>
          <w:color w:val="auto"/>
          <w:kern w:val="0"/>
          <w:sz w:val="32"/>
          <w:szCs w:val="32"/>
          <w:lang w:val="en-US" w:eastAsia="zh-CN"/>
        </w:rPr>
        <w:t>3</w:t>
      </w:r>
      <w:r>
        <w:rPr>
          <w:rFonts w:hint="eastAsia" w:eastAsia="仿宋_GB2312"/>
          <w:color w:val="auto"/>
          <w:kern w:val="0"/>
          <w:sz w:val="32"/>
          <w:szCs w:val="32"/>
        </w:rPr>
        <w:t>月</w:t>
      </w:r>
      <w:r>
        <w:rPr>
          <w:rFonts w:hint="eastAsia" w:eastAsia="仿宋_GB2312"/>
          <w:color w:val="auto"/>
          <w:kern w:val="0"/>
          <w:sz w:val="32"/>
          <w:szCs w:val="32"/>
          <w:lang w:val="en-US" w:eastAsia="zh-CN"/>
        </w:rPr>
        <w:t>23</w:t>
      </w:r>
      <w:r>
        <w:rPr>
          <w:rFonts w:hint="eastAsia" w:eastAsia="仿宋_GB2312"/>
          <w:color w:val="auto"/>
          <w:kern w:val="0"/>
          <w:sz w:val="32"/>
          <w:szCs w:val="32"/>
        </w:rPr>
        <w:t>日向</w:t>
      </w:r>
      <w:r>
        <w:rPr>
          <w:rFonts w:hint="eastAsia" w:eastAsia="仿宋_GB2312"/>
          <w:color w:val="auto"/>
          <w:kern w:val="0"/>
          <w:sz w:val="32"/>
          <w:szCs w:val="32"/>
          <w:lang w:val="en-US" w:eastAsia="zh-CN"/>
        </w:rPr>
        <w:t>你</w:t>
      </w:r>
      <w:r>
        <w:rPr>
          <w:rFonts w:hint="eastAsia" w:eastAsia="仿宋_GB2312"/>
          <w:color w:val="auto"/>
          <w:kern w:val="0"/>
          <w:sz w:val="32"/>
          <w:szCs w:val="32"/>
        </w:rPr>
        <w:t>单位</w:t>
      </w:r>
      <w:r>
        <w:rPr>
          <w:rFonts w:hint="eastAsia" w:eastAsia="仿宋_GB2312"/>
          <w:color w:val="auto"/>
          <w:kern w:val="0"/>
          <w:sz w:val="32"/>
          <w:szCs w:val="32"/>
          <w:lang w:eastAsia="zh-CN"/>
        </w:rPr>
        <w:t>直接</w:t>
      </w:r>
      <w:r>
        <w:rPr>
          <w:rFonts w:hint="eastAsia" w:eastAsia="仿宋_GB2312"/>
          <w:color w:val="auto"/>
          <w:kern w:val="0"/>
          <w:sz w:val="32"/>
          <w:szCs w:val="32"/>
        </w:rPr>
        <w:t>送达上述文件，</w:t>
      </w:r>
      <w:r>
        <w:rPr>
          <w:rFonts w:hint="eastAsia" w:eastAsia="仿宋_GB2312"/>
          <w:color w:val="auto"/>
          <w:kern w:val="0"/>
          <w:sz w:val="32"/>
          <w:szCs w:val="32"/>
          <w:lang w:val="en-US" w:eastAsia="zh-CN"/>
        </w:rPr>
        <w:t>你</w:t>
      </w:r>
      <w:r>
        <w:rPr>
          <w:rFonts w:hint="eastAsia" w:eastAsia="仿宋_GB2312"/>
          <w:color w:val="auto"/>
          <w:kern w:val="0"/>
          <w:sz w:val="32"/>
          <w:szCs w:val="32"/>
        </w:rPr>
        <w:t>单位于当日签收。你单位</w:t>
      </w:r>
      <w:r>
        <w:rPr>
          <w:rFonts w:hint="eastAsia" w:eastAsia="仿宋_GB2312"/>
          <w:color w:val="auto"/>
          <w:kern w:val="0"/>
          <w:sz w:val="32"/>
          <w:szCs w:val="32"/>
          <w:lang w:eastAsia="zh-CN"/>
        </w:rPr>
        <w:t>于</w:t>
      </w:r>
      <w:r>
        <w:rPr>
          <w:rFonts w:hint="eastAsia" w:eastAsia="仿宋_GB2312"/>
          <w:color w:val="auto"/>
          <w:kern w:val="0"/>
          <w:sz w:val="32"/>
          <w:szCs w:val="32"/>
          <w:lang w:val="en-US" w:eastAsia="zh-CN"/>
        </w:rPr>
        <w:t>2023年3月24日向</w:t>
      </w:r>
      <w:r>
        <w:rPr>
          <w:rFonts w:hint="eastAsia" w:eastAsia="仿宋_GB2312"/>
          <w:color w:val="auto"/>
          <w:kern w:val="0"/>
          <w:sz w:val="32"/>
          <w:szCs w:val="32"/>
        </w:rPr>
        <w:t>我局提出陈述申辩</w:t>
      </w:r>
      <w:r>
        <w:rPr>
          <w:rFonts w:hint="eastAsia" w:eastAsia="仿宋_GB2312"/>
          <w:color w:val="auto"/>
          <w:kern w:val="0"/>
          <w:sz w:val="32"/>
          <w:szCs w:val="32"/>
          <w:lang w:eastAsia="zh-CN"/>
        </w:rPr>
        <w:t>意见</w:t>
      </w:r>
      <w:r>
        <w:rPr>
          <w:rFonts w:hint="eastAsia" w:eastAsia="仿宋_GB2312"/>
          <w:color w:val="auto"/>
          <w:kern w:val="0"/>
          <w:sz w:val="32"/>
          <w:szCs w:val="32"/>
        </w:rPr>
        <w:t>，未申请听证。你单位提出陈述申辩意见</w:t>
      </w:r>
      <w:r>
        <w:rPr>
          <w:rFonts w:hint="eastAsia" w:eastAsia="仿宋_GB2312"/>
          <w:color w:val="auto"/>
          <w:kern w:val="0"/>
          <w:sz w:val="32"/>
          <w:szCs w:val="32"/>
          <w:lang w:eastAsia="zh-CN"/>
        </w:rPr>
        <w:t>主要内容</w:t>
      </w:r>
      <w:r>
        <w:rPr>
          <w:rFonts w:hint="eastAsia" w:eastAsia="仿宋_GB2312"/>
          <w:color w:val="auto"/>
          <w:kern w:val="0"/>
          <w:sz w:val="32"/>
          <w:szCs w:val="32"/>
        </w:rPr>
        <w:t>如下：</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eastAsia="仿宋_GB2312"/>
          <w:color w:val="auto"/>
          <w:kern w:val="0"/>
          <w:sz w:val="32"/>
          <w:szCs w:val="32"/>
          <w:lang w:eastAsia="zh-CN"/>
        </w:rPr>
      </w:pPr>
      <w:r>
        <w:rPr>
          <w:rFonts w:hint="eastAsia" w:eastAsia="仿宋_GB2312"/>
          <w:color w:val="auto"/>
          <w:kern w:val="0"/>
          <w:sz w:val="32"/>
          <w:szCs w:val="32"/>
        </w:rPr>
        <w:t>1.</w:t>
      </w:r>
      <w:r>
        <w:rPr>
          <w:rFonts w:hint="eastAsia" w:eastAsia="仿宋_GB2312"/>
          <w:color w:val="auto"/>
          <w:kern w:val="0"/>
          <w:sz w:val="32"/>
          <w:szCs w:val="32"/>
          <w:lang w:eastAsia="zh-CN"/>
        </w:rPr>
        <w:t>公司一直以来高度重视环保工作，环保审批和验收手续齐全，近几年未因生态环境问题受到过行政处罚；</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2.针对检查中发现的未按照规定安装污染防治设施的行为，公司无主观故意，公司自生产以来未接到环保部门要求治理的通知文件，接到整改通知，单位将按要求立即整改；</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3.目前公司已联系相关治理厂家，开展清洗工序有机废物治理工作，保证在治理完成前，清洗工序暂时停止使用；</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4.公司年产值近一亿元，是津南区国家规上企业，疫情以来，积极响应国家号召，对市经济增长作出了贡献，公司承诺，坚决按要求整改，遵守环保污染法规，并恳求免予行政处罚。</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以上事实，有《天津市生态环境局行政处罚</w:t>
      </w:r>
      <w:r>
        <w:rPr>
          <w:rFonts w:hint="eastAsia" w:eastAsia="仿宋_GB2312"/>
          <w:color w:val="auto"/>
          <w:kern w:val="0"/>
          <w:sz w:val="32"/>
          <w:szCs w:val="32"/>
          <w:lang w:eastAsia="zh-CN"/>
        </w:rPr>
        <w:t>听证</w:t>
      </w:r>
      <w:r>
        <w:rPr>
          <w:rFonts w:eastAsia="仿宋_GB2312"/>
          <w:color w:val="auto"/>
          <w:kern w:val="0"/>
          <w:sz w:val="32"/>
          <w:szCs w:val="32"/>
        </w:rPr>
        <w:t>告知书》（津市环</w:t>
      </w:r>
      <w:r>
        <w:rPr>
          <w:rFonts w:hint="eastAsia" w:eastAsia="仿宋_GB2312"/>
          <w:color w:val="auto"/>
          <w:kern w:val="0"/>
          <w:sz w:val="32"/>
          <w:szCs w:val="32"/>
          <w:lang w:eastAsia="zh-CN"/>
        </w:rPr>
        <w:t>听</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24</w:t>
      </w:r>
      <w:r>
        <w:rPr>
          <w:rFonts w:eastAsia="仿宋_GB2312"/>
          <w:color w:val="auto"/>
          <w:kern w:val="0"/>
          <w:sz w:val="32"/>
          <w:szCs w:val="32"/>
        </w:rPr>
        <w:t>号）</w:t>
      </w:r>
      <w:r>
        <w:rPr>
          <w:rFonts w:hint="eastAsia" w:eastAsia="仿宋_GB2312"/>
          <w:color w:val="auto"/>
          <w:kern w:val="0"/>
          <w:sz w:val="32"/>
          <w:szCs w:val="32"/>
        </w:rPr>
        <w:t>及</w:t>
      </w:r>
      <w:r>
        <w:rPr>
          <w:rFonts w:hint="eastAsia" w:eastAsia="仿宋_GB2312"/>
          <w:color w:val="auto"/>
          <w:kern w:val="0"/>
          <w:sz w:val="32"/>
          <w:szCs w:val="32"/>
          <w:lang w:eastAsia="zh-CN"/>
        </w:rPr>
        <w:t>其</w:t>
      </w:r>
      <w:r>
        <w:rPr>
          <w:rFonts w:hint="eastAsia" w:eastAsia="仿宋_GB2312"/>
          <w:color w:val="auto"/>
          <w:kern w:val="0"/>
          <w:sz w:val="32"/>
          <w:szCs w:val="32"/>
        </w:rPr>
        <w:t>送达回证</w:t>
      </w:r>
      <w:r>
        <w:rPr>
          <w:rFonts w:hint="eastAsia" w:eastAsia="仿宋_GB2312"/>
          <w:color w:val="auto"/>
          <w:kern w:val="0"/>
          <w:sz w:val="32"/>
          <w:szCs w:val="32"/>
          <w:lang w:eastAsia="zh-CN"/>
        </w:rPr>
        <w:t>、</w:t>
      </w:r>
      <w:r>
        <w:rPr>
          <w:rFonts w:hint="eastAsia" w:eastAsia="仿宋_GB2312"/>
          <w:color w:val="auto"/>
          <w:kern w:val="0"/>
          <w:sz w:val="32"/>
          <w:szCs w:val="32"/>
        </w:rPr>
        <w:t>你单位于20</w:t>
      </w:r>
      <w:r>
        <w:rPr>
          <w:rFonts w:hint="eastAsia" w:eastAsia="仿宋_GB2312"/>
          <w:color w:val="auto"/>
          <w:kern w:val="0"/>
          <w:sz w:val="32"/>
          <w:szCs w:val="32"/>
          <w:lang w:val="en-US" w:eastAsia="zh-CN"/>
        </w:rPr>
        <w:t>23</w:t>
      </w:r>
      <w:r>
        <w:rPr>
          <w:rFonts w:hint="eastAsia" w:eastAsia="仿宋_GB2312"/>
          <w:color w:val="auto"/>
          <w:kern w:val="0"/>
          <w:sz w:val="32"/>
          <w:szCs w:val="32"/>
        </w:rPr>
        <w:t>年</w:t>
      </w:r>
      <w:r>
        <w:rPr>
          <w:rFonts w:hint="eastAsia" w:eastAsia="仿宋_GB2312"/>
          <w:color w:val="auto"/>
          <w:kern w:val="0"/>
          <w:sz w:val="32"/>
          <w:szCs w:val="32"/>
          <w:lang w:val="en-US" w:eastAsia="zh-CN"/>
        </w:rPr>
        <w:t>3</w:t>
      </w:r>
      <w:r>
        <w:rPr>
          <w:rFonts w:hint="eastAsia" w:eastAsia="仿宋_GB2312"/>
          <w:color w:val="auto"/>
          <w:kern w:val="0"/>
          <w:sz w:val="32"/>
          <w:szCs w:val="32"/>
        </w:rPr>
        <w:t>月</w:t>
      </w:r>
      <w:r>
        <w:rPr>
          <w:rFonts w:hint="eastAsia" w:eastAsia="仿宋_GB2312"/>
          <w:color w:val="auto"/>
          <w:kern w:val="0"/>
          <w:sz w:val="32"/>
          <w:szCs w:val="32"/>
          <w:lang w:val="en-US" w:eastAsia="zh-CN"/>
        </w:rPr>
        <w:t>24</w:t>
      </w:r>
      <w:r>
        <w:rPr>
          <w:rFonts w:hint="eastAsia" w:eastAsia="仿宋_GB2312"/>
          <w:color w:val="auto"/>
          <w:kern w:val="0"/>
          <w:sz w:val="32"/>
          <w:szCs w:val="32"/>
        </w:rPr>
        <w:t>日</w:t>
      </w:r>
      <w:r>
        <w:rPr>
          <w:rFonts w:hint="eastAsia" w:eastAsia="仿宋_GB2312"/>
          <w:color w:val="auto"/>
          <w:kern w:val="0"/>
          <w:sz w:val="32"/>
          <w:szCs w:val="32"/>
          <w:lang w:eastAsia="zh-CN"/>
        </w:rPr>
        <w:t>提交</w:t>
      </w:r>
      <w:r>
        <w:rPr>
          <w:rFonts w:hint="eastAsia" w:eastAsia="仿宋_GB2312"/>
          <w:color w:val="auto"/>
          <w:kern w:val="0"/>
          <w:sz w:val="32"/>
          <w:szCs w:val="32"/>
        </w:rPr>
        <w:t>的</w:t>
      </w:r>
      <w:r>
        <w:rPr>
          <w:rFonts w:hint="eastAsia" w:eastAsia="仿宋_GB2312"/>
          <w:color w:val="auto"/>
          <w:kern w:val="0"/>
          <w:sz w:val="32"/>
          <w:szCs w:val="32"/>
          <w:lang w:eastAsia="zh-CN"/>
        </w:rPr>
        <w:t>申诉材料等证据</w:t>
      </w:r>
      <w:r>
        <w:rPr>
          <w:rFonts w:eastAsia="仿宋_GB2312"/>
          <w:color w:val="auto"/>
          <w:kern w:val="0"/>
          <w:sz w:val="32"/>
          <w:szCs w:val="32"/>
        </w:rPr>
        <w:t>为凭。</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20" w:lineRule="exact"/>
        <w:ind w:firstLine="640" w:firstLineChars="200"/>
        <w:jc w:val="left"/>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2023年4月24日经局负责人集体审议，你单位提出的陈述申辩意见不影响对本案违法事实的认定，本案违法事实清楚、执法程序合法、法律适用准确、处罚幅度裁量合理。</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20" w:lineRule="exact"/>
        <w:ind w:firstLine="640" w:firstLineChars="200"/>
        <w:jc w:val="left"/>
        <w:textAlignment w:val="auto"/>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left"/>
        <w:textAlignment w:val="auto"/>
        <w:rPr>
          <w:rFonts w:hint="eastAsia" w:eastAsia="仿宋_GB2312"/>
          <w:color w:val="auto"/>
          <w:kern w:val="0"/>
          <w:sz w:val="32"/>
          <w:szCs w:val="32"/>
          <w:lang w:eastAsia="zh-CN"/>
        </w:rPr>
      </w:pPr>
      <w:r>
        <w:rPr>
          <w:rFonts w:hint="eastAsia" w:eastAsia="仿宋_GB2312"/>
          <w:color w:val="auto"/>
          <w:kern w:val="0"/>
          <w:sz w:val="32"/>
          <w:szCs w:val="32"/>
        </w:rPr>
        <w:t>依据</w:t>
      </w:r>
      <w:r>
        <w:rPr>
          <w:rFonts w:hint="eastAsia" w:eastAsia="仿宋_GB2312"/>
          <w:color w:val="auto"/>
          <w:kern w:val="0"/>
          <w:sz w:val="32"/>
          <w:szCs w:val="32"/>
          <w:lang w:val="en-US" w:eastAsia="zh-CN"/>
        </w:rPr>
        <w:t>《中华人民共和国大气污染防治法》第一百零八条第（一）项的规定</w:t>
      </w:r>
      <w:r>
        <w:rPr>
          <w:rFonts w:hint="eastAsia" w:eastAsia="仿宋_GB2312"/>
          <w:color w:val="auto"/>
          <w:kern w:val="0"/>
          <w:sz w:val="32"/>
          <w:szCs w:val="32"/>
          <w:lang w:eastAsia="zh-CN"/>
        </w:rPr>
        <w:t>，我局：</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eastAsia="仿宋_GB2312"/>
          <w:color w:val="auto"/>
          <w:kern w:val="0"/>
          <w:sz w:val="32"/>
          <w:szCs w:val="32"/>
          <w:lang w:eastAsia="zh-CN"/>
        </w:rPr>
      </w:pPr>
      <w:r>
        <w:rPr>
          <w:rFonts w:eastAsia="仿宋_GB2312"/>
          <w:color w:val="auto"/>
          <w:kern w:val="0"/>
          <w:sz w:val="32"/>
          <w:szCs w:val="32"/>
        </w:rPr>
        <w:t>1.</w:t>
      </w:r>
      <w:r>
        <w:rPr>
          <w:rFonts w:hint="eastAsia" w:eastAsia="仿宋_GB2312"/>
          <w:color w:val="auto"/>
          <w:kern w:val="0"/>
          <w:sz w:val="32"/>
          <w:szCs w:val="32"/>
        </w:rPr>
        <w:t>责令你单位</w:t>
      </w:r>
      <w:r>
        <w:rPr>
          <w:rFonts w:hint="eastAsia" w:eastAsia="仿宋_GB2312"/>
          <w:color w:val="auto"/>
          <w:kern w:val="0"/>
          <w:sz w:val="32"/>
          <w:szCs w:val="32"/>
          <w:lang w:val="en-US" w:eastAsia="zh-CN"/>
        </w:rPr>
        <w:t>2个月内改正违法行为</w:t>
      </w:r>
      <w:r>
        <w:rPr>
          <w:rFonts w:hint="eastAsia" w:eastAsia="仿宋_GB2312"/>
          <w:color w:val="auto"/>
          <w:kern w:val="0"/>
          <w:sz w:val="32"/>
          <w:szCs w:val="32"/>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eastAsia="仿宋_GB2312"/>
          <w:color w:val="auto"/>
          <w:kern w:val="0"/>
          <w:sz w:val="32"/>
          <w:szCs w:val="32"/>
        </w:rPr>
      </w:pPr>
      <w:r>
        <w:rPr>
          <w:rFonts w:hint="eastAsia" w:eastAsia="仿宋_GB2312"/>
          <w:color w:val="auto"/>
          <w:kern w:val="0"/>
          <w:sz w:val="32"/>
          <w:szCs w:val="32"/>
        </w:rPr>
        <w:t>2</w:t>
      </w:r>
      <w:r>
        <w:rPr>
          <w:rFonts w:eastAsia="仿宋_GB2312"/>
          <w:color w:val="auto"/>
          <w:kern w:val="0"/>
          <w:sz w:val="32"/>
          <w:szCs w:val="32"/>
        </w:rPr>
        <w:t>.</w:t>
      </w:r>
      <w:r>
        <w:rPr>
          <w:rFonts w:hint="eastAsia" w:eastAsia="仿宋_GB2312"/>
          <w:color w:val="auto"/>
          <w:kern w:val="0"/>
          <w:sz w:val="32"/>
          <w:szCs w:val="32"/>
          <w:lang w:eastAsia="zh-CN"/>
        </w:rPr>
        <w:t>对你单位</w:t>
      </w:r>
      <w:r>
        <w:rPr>
          <w:rFonts w:eastAsia="仿宋_GB2312"/>
          <w:color w:val="auto"/>
          <w:kern w:val="0"/>
          <w:sz w:val="32"/>
          <w:szCs w:val="32"/>
        </w:rPr>
        <w:t>处罚款</w:t>
      </w:r>
      <w:r>
        <w:rPr>
          <w:rFonts w:hint="eastAsia" w:eastAsia="仿宋_GB2312"/>
          <w:color w:val="auto"/>
          <w:kern w:val="0"/>
          <w:sz w:val="32"/>
          <w:szCs w:val="32"/>
          <w:lang w:val="en-US" w:eastAsia="zh-CN"/>
        </w:rPr>
        <w:t>五万</w:t>
      </w:r>
      <w:r>
        <w:rPr>
          <w:rFonts w:eastAsia="仿宋_GB2312"/>
          <w:color w:val="auto"/>
          <w:kern w:val="0"/>
          <w:sz w:val="32"/>
          <w:szCs w:val="32"/>
        </w:rPr>
        <w:t>元。</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rPr>
        <w:t>责令改正和</w:t>
      </w:r>
      <w:r>
        <w:rPr>
          <w:rFonts w:eastAsia="黑体"/>
          <w:color w:val="auto"/>
          <w:kern w:val="0"/>
          <w:sz w:val="32"/>
          <w:szCs w:val="32"/>
        </w:rPr>
        <w:t>处罚决定的履行方式和期限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（一）关于责令改正的履行方式和期限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你单位应于接到本</w:t>
      </w:r>
      <w:r>
        <w:rPr>
          <w:rFonts w:hint="eastAsia" w:eastAsia="仿宋_GB2312"/>
          <w:color w:val="auto"/>
          <w:kern w:val="0"/>
          <w:sz w:val="32"/>
          <w:szCs w:val="32"/>
          <w:lang w:val="en-US" w:eastAsia="zh-CN"/>
        </w:rPr>
        <w:t>处罚</w:t>
      </w:r>
      <w:r>
        <w:rPr>
          <w:rFonts w:eastAsia="仿宋_GB2312"/>
          <w:color w:val="auto"/>
          <w:kern w:val="0"/>
          <w:sz w:val="32"/>
          <w:szCs w:val="32"/>
        </w:rPr>
        <w:t>决定书之日起</w:t>
      </w:r>
      <w:r>
        <w:rPr>
          <w:rFonts w:hint="eastAsia" w:eastAsia="仿宋_GB2312"/>
          <w:color w:val="auto"/>
          <w:kern w:val="0"/>
          <w:sz w:val="32"/>
          <w:szCs w:val="32"/>
          <w:lang w:val="en-US" w:eastAsia="zh-CN"/>
        </w:rPr>
        <w:t>2个月内</w:t>
      </w:r>
      <w:r>
        <w:rPr>
          <w:rFonts w:eastAsia="仿宋_GB2312"/>
          <w:color w:val="auto"/>
          <w:kern w:val="0"/>
          <w:sz w:val="32"/>
          <w:szCs w:val="32"/>
        </w:rPr>
        <w:t>改正</w:t>
      </w:r>
      <w:r>
        <w:rPr>
          <w:rFonts w:hint="eastAsia" w:eastAsia="仿宋_GB2312"/>
          <w:color w:val="auto"/>
          <w:kern w:val="0"/>
          <w:sz w:val="32"/>
          <w:szCs w:val="32"/>
          <w:lang w:eastAsia="zh-CN"/>
        </w:rPr>
        <w:t>上述</w:t>
      </w:r>
      <w:r>
        <w:rPr>
          <w:rFonts w:eastAsia="仿宋_GB2312"/>
          <w:color w:val="auto"/>
          <w:kern w:val="0"/>
          <w:sz w:val="32"/>
          <w:szCs w:val="32"/>
        </w:rPr>
        <w:t>违法行为</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并按照规定安装使用污染防治设施。</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（二）关于</w:t>
      </w:r>
      <w:r>
        <w:rPr>
          <w:rFonts w:hint="eastAsia" w:ascii="楷体" w:hAnsi="楷体" w:eastAsia="楷体"/>
          <w:color w:val="auto"/>
          <w:kern w:val="0"/>
          <w:sz w:val="32"/>
          <w:szCs w:val="32"/>
          <w:lang w:eastAsia="zh-CN"/>
        </w:rPr>
        <w:t>处罚决定</w:t>
      </w:r>
      <w:r>
        <w:rPr>
          <w:rFonts w:ascii="楷体" w:hAnsi="楷体" w:eastAsia="楷体"/>
          <w:color w:val="auto"/>
          <w:kern w:val="0"/>
          <w:sz w:val="32"/>
          <w:szCs w:val="32"/>
        </w:rPr>
        <w:t>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eastAsia="仿宋_GB2312"/>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《中华人民共和国行政处罚法》和《罚款决定与罚款收缴分离实施办法》的规定，你单位应于接到本处罚决定书之日起十五日内，到我局领取</w:t>
      </w:r>
      <w:r>
        <w:rPr>
          <w:rFonts w:hint="eastAsia" w:eastAsia="仿宋_GB2312"/>
          <w:color w:val="auto"/>
          <w:kern w:val="0"/>
          <w:sz w:val="32"/>
          <w:szCs w:val="32"/>
        </w:rPr>
        <w:t>《非税收入统一缴款书（缴款通知书）》</w:t>
      </w:r>
      <w:r>
        <w:rPr>
          <w:rFonts w:eastAsia="仿宋_GB2312"/>
          <w:color w:val="auto"/>
          <w:kern w:val="0"/>
          <w:sz w:val="32"/>
          <w:szCs w:val="32"/>
        </w:rPr>
        <w:t>并缴至指定银行。</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你单位逾期不缴纳罚款的，我局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依法每日按罚款数额的3%加处罚款。</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eastAsia="黑体"/>
          <w:color w:val="auto"/>
          <w:kern w:val="0"/>
          <w:sz w:val="32"/>
          <w:szCs w:val="32"/>
          <w:u w:val="single"/>
        </w:rPr>
      </w:pPr>
      <w:r>
        <w:rPr>
          <w:rFonts w:eastAsia="黑体"/>
          <w:color w:val="auto"/>
          <w:kern w:val="0"/>
          <w:sz w:val="32"/>
          <w:szCs w:val="32"/>
        </w:rPr>
        <w:t>四、申请行政复议或者提起行政诉讼的途径和期限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如对本处罚决定不服，可在收到本处罚决定书之日起六十日内向中华人民共和国生态环境部或者向天津市人民政府申请复议，也可在六个月内直接向天津铁路运输法院起诉。</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申请行政复议或者提起行政诉讼，不停止行政处罚决定的执行。</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left"/>
        <w:textAlignment w:val="auto"/>
        <w:rPr>
          <w:rFonts w:eastAsia="仿宋_GB2312"/>
          <w:color w:val="auto"/>
          <w:kern w:val="0"/>
          <w:sz w:val="32"/>
          <w:szCs w:val="32"/>
        </w:rPr>
      </w:pPr>
      <w:r>
        <w:rPr>
          <w:rFonts w:eastAsia="仿宋_GB2312"/>
          <w:color w:val="auto"/>
          <w:kern w:val="0"/>
          <w:sz w:val="32"/>
          <w:szCs w:val="32"/>
        </w:rPr>
        <w:t>逾期</w:t>
      </w:r>
      <w:r>
        <w:rPr>
          <w:rFonts w:eastAsia="仿宋_GB2312"/>
          <w:color w:val="auto"/>
          <w:spacing w:val="1"/>
          <w:kern w:val="0"/>
          <w:sz w:val="32"/>
          <w:szCs w:val="32"/>
        </w:rPr>
        <w:t>不</w:t>
      </w:r>
      <w:r>
        <w:rPr>
          <w:rFonts w:eastAsia="仿宋_GB2312"/>
          <w:color w:val="auto"/>
          <w:kern w:val="0"/>
          <w:sz w:val="32"/>
          <w:szCs w:val="32"/>
        </w:rPr>
        <w:t>申</w:t>
      </w:r>
      <w:r>
        <w:rPr>
          <w:rFonts w:eastAsia="仿宋_GB2312"/>
          <w:color w:val="auto"/>
          <w:spacing w:val="1"/>
          <w:kern w:val="0"/>
          <w:sz w:val="32"/>
          <w:szCs w:val="32"/>
        </w:rPr>
        <w:t>请</w:t>
      </w:r>
      <w:r>
        <w:rPr>
          <w:rFonts w:eastAsia="仿宋_GB2312"/>
          <w:color w:val="auto"/>
          <w:kern w:val="0"/>
          <w:sz w:val="32"/>
          <w:szCs w:val="32"/>
        </w:rPr>
        <w:t>行政</w:t>
      </w:r>
      <w:r>
        <w:rPr>
          <w:rFonts w:eastAsia="仿宋_GB2312"/>
          <w:color w:val="auto"/>
          <w:spacing w:val="1"/>
          <w:kern w:val="0"/>
          <w:sz w:val="32"/>
          <w:szCs w:val="32"/>
        </w:rPr>
        <w:t>复</w:t>
      </w:r>
      <w:r>
        <w:rPr>
          <w:rFonts w:eastAsia="仿宋_GB2312"/>
          <w:color w:val="auto"/>
          <w:kern w:val="0"/>
          <w:sz w:val="32"/>
          <w:szCs w:val="32"/>
        </w:rPr>
        <w:t>议</w:t>
      </w:r>
      <w:r>
        <w:rPr>
          <w:rFonts w:eastAsia="仿宋_GB2312"/>
          <w:color w:val="auto"/>
          <w:spacing w:val="1"/>
          <w:kern w:val="0"/>
          <w:sz w:val="32"/>
          <w:szCs w:val="32"/>
        </w:rPr>
        <w:t>，</w:t>
      </w:r>
      <w:r>
        <w:rPr>
          <w:rFonts w:eastAsia="仿宋_GB2312"/>
          <w:color w:val="auto"/>
          <w:kern w:val="0"/>
          <w:sz w:val="32"/>
          <w:szCs w:val="32"/>
        </w:rPr>
        <w:t>不提</w:t>
      </w:r>
      <w:r>
        <w:rPr>
          <w:rFonts w:eastAsia="仿宋_GB2312"/>
          <w:color w:val="auto"/>
          <w:spacing w:val="1"/>
          <w:kern w:val="0"/>
          <w:sz w:val="32"/>
          <w:szCs w:val="32"/>
        </w:rPr>
        <w:t>起</w:t>
      </w:r>
      <w:r>
        <w:rPr>
          <w:rFonts w:eastAsia="仿宋_GB2312"/>
          <w:color w:val="auto"/>
          <w:kern w:val="0"/>
          <w:sz w:val="32"/>
          <w:szCs w:val="32"/>
        </w:rPr>
        <w:t>行</w:t>
      </w:r>
      <w:r>
        <w:rPr>
          <w:rFonts w:eastAsia="仿宋_GB2312"/>
          <w:color w:val="auto"/>
          <w:spacing w:val="1"/>
          <w:kern w:val="0"/>
          <w:sz w:val="32"/>
          <w:szCs w:val="32"/>
        </w:rPr>
        <w:t>政</w:t>
      </w:r>
      <w:r>
        <w:rPr>
          <w:rFonts w:eastAsia="仿宋_GB2312"/>
          <w:color w:val="auto"/>
          <w:kern w:val="0"/>
          <w:sz w:val="32"/>
          <w:szCs w:val="32"/>
        </w:rPr>
        <w:t>诉讼</w:t>
      </w:r>
      <w:r>
        <w:rPr>
          <w:rFonts w:eastAsia="仿宋_GB2312"/>
          <w:color w:val="auto"/>
          <w:spacing w:val="1"/>
          <w:kern w:val="0"/>
          <w:sz w:val="32"/>
          <w:szCs w:val="32"/>
        </w:rPr>
        <w:t>，</w:t>
      </w:r>
      <w:r>
        <w:rPr>
          <w:rFonts w:eastAsia="仿宋_GB2312"/>
          <w:color w:val="auto"/>
          <w:kern w:val="0"/>
          <w:sz w:val="32"/>
          <w:szCs w:val="32"/>
        </w:rPr>
        <w:t>又</w:t>
      </w:r>
      <w:r>
        <w:rPr>
          <w:rFonts w:eastAsia="仿宋_GB2312"/>
          <w:color w:val="auto"/>
          <w:spacing w:val="1"/>
          <w:kern w:val="0"/>
          <w:sz w:val="32"/>
          <w:szCs w:val="32"/>
        </w:rPr>
        <w:t>不</w:t>
      </w:r>
      <w:r>
        <w:rPr>
          <w:rFonts w:eastAsia="仿宋_GB2312"/>
          <w:color w:val="auto"/>
          <w:kern w:val="0"/>
          <w:sz w:val="32"/>
          <w:szCs w:val="32"/>
        </w:rPr>
        <w:t>履行</w:t>
      </w:r>
      <w:r>
        <w:rPr>
          <w:rFonts w:eastAsia="仿宋_GB2312"/>
          <w:color w:val="auto"/>
          <w:spacing w:val="1"/>
          <w:kern w:val="0"/>
          <w:sz w:val="32"/>
          <w:szCs w:val="32"/>
        </w:rPr>
        <w:t>本</w:t>
      </w:r>
      <w:r>
        <w:rPr>
          <w:rFonts w:eastAsia="仿宋_GB2312"/>
          <w:color w:val="auto"/>
          <w:kern w:val="0"/>
          <w:sz w:val="32"/>
          <w:szCs w:val="32"/>
        </w:rPr>
        <w:t>处</w:t>
      </w:r>
      <w:r>
        <w:rPr>
          <w:rFonts w:eastAsia="仿宋_GB2312"/>
          <w:color w:val="auto"/>
          <w:spacing w:val="1"/>
          <w:kern w:val="0"/>
          <w:sz w:val="32"/>
          <w:szCs w:val="32"/>
        </w:rPr>
        <w:t>罚</w:t>
      </w:r>
      <w:r>
        <w:rPr>
          <w:rFonts w:eastAsia="仿宋_GB2312"/>
          <w:color w:val="auto"/>
          <w:kern w:val="0"/>
          <w:sz w:val="32"/>
          <w:szCs w:val="32"/>
        </w:rPr>
        <w:t>决定</w:t>
      </w:r>
      <w:r>
        <w:rPr>
          <w:rFonts w:eastAsia="仿宋_GB2312"/>
          <w:color w:val="auto"/>
          <w:spacing w:val="1"/>
          <w:kern w:val="0"/>
          <w:sz w:val="32"/>
          <w:szCs w:val="32"/>
        </w:rPr>
        <w:t>的</w:t>
      </w:r>
      <w:r>
        <w:rPr>
          <w:rFonts w:eastAsia="仿宋_GB2312"/>
          <w:color w:val="auto"/>
          <w:kern w:val="0"/>
          <w:sz w:val="32"/>
          <w:szCs w:val="32"/>
        </w:rPr>
        <w:t>，</w:t>
      </w:r>
      <w:r>
        <w:rPr>
          <w:rFonts w:eastAsia="仿宋_GB2312"/>
          <w:color w:val="auto"/>
          <w:spacing w:val="1"/>
          <w:kern w:val="0"/>
          <w:sz w:val="32"/>
          <w:szCs w:val="32"/>
        </w:rPr>
        <w:t>我</w:t>
      </w:r>
      <w:r>
        <w:rPr>
          <w:rFonts w:eastAsia="仿宋_GB2312"/>
          <w:color w:val="auto"/>
          <w:kern w:val="0"/>
          <w:sz w:val="32"/>
          <w:szCs w:val="32"/>
        </w:rPr>
        <w:t>局将</w:t>
      </w:r>
      <w:r>
        <w:rPr>
          <w:rFonts w:eastAsia="仿宋_GB2312"/>
          <w:color w:val="auto"/>
          <w:spacing w:val="1"/>
          <w:kern w:val="0"/>
          <w:sz w:val="32"/>
          <w:szCs w:val="32"/>
        </w:rPr>
        <w:t>依</w:t>
      </w:r>
      <w:r>
        <w:rPr>
          <w:rFonts w:eastAsia="仿宋_GB2312"/>
          <w:color w:val="auto"/>
          <w:kern w:val="0"/>
          <w:sz w:val="32"/>
          <w:szCs w:val="32"/>
        </w:rPr>
        <w:t>法</w:t>
      </w:r>
      <w:r>
        <w:rPr>
          <w:rFonts w:eastAsia="仿宋_GB2312"/>
          <w:color w:val="auto"/>
          <w:spacing w:val="1"/>
          <w:kern w:val="0"/>
          <w:sz w:val="32"/>
          <w:szCs w:val="32"/>
        </w:rPr>
        <w:t>申</w:t>
      </w:r>
      <w:r>
        <w:rPr>
          <w:rFonts w:eastAsia="仿宋_GB2312"/>
          <w:color w:val="auto"/>
          <w:kern w:val="0"/>
          <w:sz w:val="32"/>
          <w:szCs w:val="32"/>
        </w:rPr>
        <w:t>请人</w:t>
      </w:r>
      <w:r>
        <w:rPr>
          <w:rFonts w:eastAsia="仿宋_GB2312"/>
          <w:color w:val="auto"/>
          <w:spacing w:val="1"/>
          <w:kern w:val="0"/>
          <w:sz w:val="32"/>
          <w:szCs w:val="32"/>
        </w:rPr>
        <w:t>民法</w:t>
      </w:r>
      <w:r>
        <w:rPr>
          <w:rFonts w:eastAsia="仿宋_GB2312"/>
          <w:color w:val="auto"/>
          <w:spacing w:val="2"/>
          <w:kern w:val="0"/>
          <w:sz w:val="32"/>
          <w:szCs w:val="32"/>
        </w:rPr>
        <w:t>院</w:t>
      </w:r>
      <w:r>
        <w:rPr>
          <w:rFonts w:eastAsia="仿宋_GB2312"/>
          <w:color w:val="auto"/>
          <w:spacing w:val="1"/>
          <w:kern w:val="0"/>
          <w:sz w:val="32"/>
          <w:szCs w:val="32"/>
        </w:rPr>
        <w:t>强</w:t>
      </w:r>
      <w:r>
        <w:rPr>
          <w:rFonts w:eastAsia="仿宋_GB2312"/>
          <w:color w:val="auto"/>
          <w:kern w:val="0"/>
          <w:sz w:val="32"/>
          <w:szCs w:val="32"/>
        </w:rPr>
        <w:t>制执行。</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五、信用中国网站信用修复</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20" w:lineRule="exact"/>
        <w:ind w:firstLine="640" w:firstLineChars="200"/>
        <w:jc w:val="left"/>
        <w:textAlignment w:val="auto"/>
        <w:rPr>
          <w:rFonts w:eastAsia="仿宋_GB2312"/>
          <w:color w:val="auto"/>
          <w:kern w:val="0"/>
          <w:sz w:val="32"/>
          <w:szCs w:val="32"/>
        </w:rPr>
      </w:pPr>
      <w:r>
        <w:rPr>
          <w:rFonts w:hint="eastAsia" w:eastAsia="仿宋_GB2312"/>
          <w:color w:val="auto"/>
          <w:kern w:val="0"/>
          <w:sz w:val="32"/>
          <w:szCs w:val="32"/>
          <w:lang w:val="en-US" w:eastAsia="zh-CN"/>
        </w:rPr>
        <w:t>你单位自觉履行本行政处罚决定并完成相关整改工作后，可登录“信用中国（天津）”网站（https://credit.fzgg.tj.gov.cn/）信用服务-信用修复栏目自助开展行政处罚信用修复。修复后你单位上述行政处罚信息将在信用中国网站停止公示。</w:t>
      </w:r>
    </w:p>
    <w:p>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520" w:lineRule="exact"/>
        <w:ind w:right="-20"/>
        <w:jc w:val="both"/>
        <w:textAlignment w:val="auto"/>
        <w:rPr>
          <w:rFonts w:eastAsia="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jc w:val="both"/>
        <w:textAlignment w:val="auto"/>
        <w:rPr>
          <w:rFonts w:eastAsia="仿宋_GB2312"/>
          <w:color w:val="auto"/>
          <w:kern w:val="0"/>
          <w:sz w:val="32"/>
          <w:szCs w:val="32"/>
        </w:rPr>
      </w:pPr>
    </w:p>
    <w:p>
      <w:pPr>
        <w:keepNext w:val="0"/>
        <w:keepLines w:val="0"/>
        <w:pageBreakBefore w:val="0"/>
        <w:widowControl w:val="0"/>
        <w:tabs>
          <w:tab w:val="left" w:pos="5035"/>
          <w:tab w:val="left" w:pos="8460"/>
          <w:tab w:val="left" w:pos="9265"/>
        </w:tabs>
        <w:kinsoku/>
        <w:wordWrap/>
        <w:overflowPunct/>
        <w:topLinePunct w:val="0"/>
        <w:autoSpaceDE w:val="0"/>
        <w:autoSpaceDN w:val="0"/>
        <w:bidi w:val="0"/>
        <w:adjustRightInd w:val="0"/>
        <w:snapToGrid w:val="0"/>
        <w:spacing w:line="520" w:lineRule="exact"/>
        <w:ind w:right="-20"/>
        <w:jc w:val="both"/>
        <w:textAlignment w:val="auto"/>
        <w:rPr>
          <w:rFonts w:eastAsia="仿宋_GB2312"/>
          <w:color w:val="auto"/>
          <w:kern w:val="0"/>
          <w:sz w:val="32"/>
          <w:szCs w:val="32"/>
        </w:rPr>
      </w:pPr>
    </w:p>
    <w:p>
      <w:pPr>
        <w:keepNext w:val="0"/>
        <w:keepLines w:val="0"/>
        <w:pageBreakBefore w:val="0"/>
        <w:widowControl w:val="0"/>
        <w:kinsoku/>
        <w:wordWrap/>
        <w:overflowPunct/>
        <w:topLinePunct w:val="0"/>
        <w:bidi w:val="0"/>
        <w:adjustRightInd w:val="0"/>
        <w:snapToGrid w:val="0"/>
        <w:spacing w:line="520" w:lineRule="exact"/>
        <w:jc w:val="center"/>
        <w:textAlignment w:val="auto"/>
        <w:rPr>
          <w:rFonts w:eastAsia="仿宋_GB2312"/>
          <w:color w:val="auto"/>
          <w:kern w:val="0"/>
          <w:sz w:val="28"/>
          <w:szCs w:val="28"/>
        </w:rPr>
      </w:pPr>
      <w:r>
        <w:rPr>
          <w:rFonts w:eastAsia="仿宋_GB2312"/>
          <w:color w:val="auto"/>
          <w:kern w:val="0"/>
          <w:sz w:val="32"/>
          <w:szCs w:val="32"/>
        </w:rPr>
        <w:t xml:space="preserve">                           </w:t>
      </w:r>
      <w:bookmarkStart w:id="3" w:name="PO_7_QianFaShiJian"/>
      <w:r>
        <w:rPr>
          <w:rFonts w:eastAsia="仿宋_GB2312"/>
          <w:color w:val="auto"/>
          <w:kern w:val="0"/>
          <w:sz w:val="32"/>
          <w:szCs w:val="32"/>
        </w:rPr>
        <w:t>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5</w:t>
      </w:r>
      <w:r>
        <w:rPr>
          <w:rFonts w:eastAsia="仿宋_GB2312"/>
          <w:color w:val="auto"/>
          <w:kern w:val="0"/>
          <w:sz w:val="32"/>
          <w:szCs w:val="32"/>
        </w:rPr>
        <w:t>月</w:t>
      </w:r>
      <w:bookmarkEnd w:id="3"/>
      <w:r>
        <w:rPr>
          <w:rFonts w:hint="eastAsia" w:eastAsia="仿宋_GB2312"/>
          <w:color w:val="auto"/>
          <w:kern w:val="0"/>
          <w:sz w:val="32"/>
          <w:szCs w:val="32"/>
          <w:lang w:val="en-US" w:eastAsia="zh-CN"/>
        </w:rPr>
        <w:t>5</w:t>
      </w:r>
      <w:r>
        <w:rPr>
          <w:rFonts w:eastAsia="仿宋_GB2312"/>
          <w:color w:val="auto"/>
          <w:kern w:val="0"/>
          <w:sz w:val="32"/>
          <w:szCs w:val="32"/>
        </w:rPr>
        <w:t>日</w:t>
      </w:r>
    </w:p>
    <w:p>
      <w:pPr>
        <w:keepNext w:val="0"/>
        <w:keepLines w:val="0"/>
        <w:pageBreakBefore w:val="0"/>
        <w:widowControl w:val="0"/>
        <w:tabs>
          <w:tab w:val="left" w:pos="9120"/>
        </w:tabs>
        <w:kinsoku/>
        <w:wordWrap/>
        <w:overflowPunct/>
        <w:topLinePunct w:val="0"/>
        <w:autoSpaceDE w:val="0"/>
        <w:autoSpaceDN w:val="0"/>
        <w:bidi w:val="0"/>
        <w:adjustRightInd w:val="0"/>
        <w:spacing w:line="520" w:lineRule="exact"/>
        <w:ind w:right="120"/>
        <w:textAlignment w:val="auto"/>
        <w:rPr>
          <w:rFonts w:eastAsia="仿宋_GB2312"/>
          <w:color w:val="auto"/>
          <w:kern w:val="0"/>
          <w:sz w:val="28"/>
          <w:szCs w:val="28"/>
        </w:rPr>
      </w:pPr>
    </w:p>
    <w:p>
      <w:pPr>
        <w:keepNext w:val="0"/>
        <w:keepLines w:val="0"/>
        <w:pageBreakBefore w:val="0"/>
        <w:widowControl w:val="0"/>
        <w:tabs>
          <w:tab w:val="left" w:pos="9120"/>
        </w:tabs>
        <w:kinsoku/>
        <w:wordWrap/>
        <w:overflowPunct/>
        <w:topLinePunct w:val="0"/>
        <w:autoSpaceDE w:val="0"/>
        <w:autoSpaceDN w:val="0"/>
        <w:bidi w:val="0"/>
        <w:adjustRightInd w:val="0"/>
        <w:spacing w:line="520" w:lineRule="exact"/>
        <w:ind w:right="120"/>
        <w:textAlignment w:val="auto"/>
        <w:rPr>
          <w:rFonts w:eastAsia="仿宋_GB2312"/>
          <w:color w:val="auto"/>
          <w:kern w:val="0"/>
          <w:sz w:val="28"/>
          <w:szCs w:val="28"/>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3" w:type="default"/>
      <w:footerReference r:id="rId5" w:type="default"/>
      <w:headerReference r:id="rId4" w:type="even"/>
      <w:pgSz w:w="11907" w:h="16840" w:orient="landscape"/>
      <w:pgMar w:top="2041" w:right="1474" w:bottom="1928" w:left="141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4"/>
      <w:isLgl/>
      <w:lvlText w:val="%1.%2"/>
      <w:lvlJc w:val="left"/>
      <w:pPr>
        <w:tabs>
          <w:tab w:val="left" w:pos="576"/>
        </w:tabs>
        <w:ind w:left="576" w:hanging="576"/>
      </w:pPr>
      <w:rPr>
        <w:rFonts w:hint="eastAsia"/>
      </w:rPr>
    </w:lvl>
    <w:lvl w:ilvl="2" w:tentative="0">
      <w:start w:val="1"/>
      <w:numFmt w:val="decimal"/>
      <w:pStyle w:val="5"/>
      <w:isLgl/>
      <w:lvlText w:val="%1.%2.%3"/>
      <w:lvlJc w:val="left"/>
      <w:pPr>
        <w:tabs>
          <w:tab w:val="left" w:pos="720"/>
        </w:tabs>
        <w:ind w:left="720" w:hanging="720"/>
      </w:pPr>
      <w:rPr>
        <w:rFonts w:hint="eastAsia"/>
      </w:rPr>
    </w:lvl>
    <w:lvl w:ilvl="3" w:tentative="0">
      <w:start w:val="1"/>
      <w:numFmt w:val="decimal"/>
      <w:pStyle w:val="6"/>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3"/>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ZGY3YWJhNWE4NTE5YzZjNTNlNGUxM2ZjZjEwOGYifQ=="/>
  </w:docVars>
  <w:rsids>
    <w:rsidRoot w:val="78B6471C"/>
    <w:rsid w:val="00010AA6"/>
    <w:rsid w:val="000204AC"/>
    <w:rsid w:val="00043334"/>
    <w:rsid w:val="000657F1"/>
    <w:rsid w:val="0009025B"/>
    <w:rsid w:val="00095A17"/>
    <w:rsid w:val="000D6F4A"/>
    <w:rsid w:val="000E35AD"/>
    <w:rsid w:val="0010341C"/>
    <w:rsid w:val="00121857"/>
    <w:rsid w:val="0013098D"/>
    <w:rsid w:val="0013559F"/>
    <w:rsid w:val="00140468"/>
    <w:rsid w:val="00152183"/>
    <w:rsid w:val="00157F83"/>
    <w:rsid w:val="00173A1F"/>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92BE0"/>
    <w:rsid w:val="002D34A1"/>
    <w:rsid w:val="002E443D"/>
    <w:rsid w:val="003057A3"/>
    <w:rsid w:val="0033687D"/>
    <w:rsid w:val="00343837"/>
    <w:rsid w:val="00353614"/>
    <w:rsid w:val="003658E2"/>
    <w:rsid w:val="003A15F8"/>
    <w:rsid w:val="003A1FCB"/>
    <w:rsid w:val="003B1577"/>
    <w:rsid w:val="003C05F1"/>
    <w:rsid w:val="003C45C3"/>
    <w:rsid w:val="003C4CF8"/>
    <w:rsid w:val="003D74C6"/>
    <w:rsid w:val="003E1E96"/>
    <w:rsid w:val="003E474C"/>
    <w:rsid w:val="003F2EA1"/>
    <w:rsid w:val="00417624"/>
    <w:rsid w:val="00432C4D"/>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45722"/>
    <w:rsid w:val="00850EF1"/>
    <w:rsid w:val="008778D2"/>
    <w:rsid w:val="008874CB"/>
    <w:rsid w:val="00895089"/>
    <w:rsid w:val="008A66F0"/>
    <w:rsid w:val="008B4839"/>
    <w:rsid w:val="008B6497"/>
    <w:rsid w:val="008E0B8C"/>
    <w:rsid w:val="008F1113"/>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02D8"/>
    <w:rsid w:val="00A85133"/>
    <w:rsid w:val="00A8786C"/>
    <w:rsid w:val="00AC5186"/>
    <w:rsid w:val="00AD0BD6"/>
    <w:rsid w:val="00AF21E9"/>
    <w:rsid w:val="00AF2C63"/>
    <w:rsid w:val="00B1113A"/>
    <w:rsid w:val="00B13545"/>
    <w:rsid w:val="00B51CAA"/>
    <w:rsid w:val="00B56F69"/>
    <w:rsid w:val="00B571CE"/>
    <w:rsid w:val="00B65A78"/>
    <w:rsid w:val="00B77FEE"/>
    <w:rsid w:val="00B90D48"/>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D056EC"/>
    <w:rsid w:val="00D063E3"/>
    <w:rsid w:val="00D1024B"/>
    <w:rsid w:val="00D13861"/>
    <w:rsid w:val="00D15117"/>
    <w:rsid w:val="00D26915"/>
    <w:rsid w:val="00D2707E"/>
    <w:rsid w:val="00D31EDD"/>
    <w:rsid w:val="00D71E35"/>
    <w:rsid w:val="00D936DC"/>
    <w:rsid w:val="00D95AE8"/>
    <w:rsid w:val="00DA3404"/>
    <w:rsid w:val="00DA5D19"/>
    <w:rsid w:val="00DE1676"/>
    <w:rsid w:val="00DF22E2"/>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674B8"/>
    <w:rsid w:val="00F73398"/>
    <w:rsid w:val="00F97257"/>
    <w:rsid w:val="00FA0003"/>
    <w:rsid w:val="00FA2B76"/>
    <w:rsid w:val="00FB25AA"/>
    <w:rsid w:val="00FB4879"/>
    <w:rsid w:val="00FC14FB"/>
    <w:rsid w:val="00FD09D1"/>
    <w:rsid w:val="00FE5FB8"/>
    <w:rsid w:val="04564EA5"/>
    <w:rsid w:val="047D7869"/>
    <w:rsid w:val="04CF2504"/>
    <w:rsid w:val="07D4164E"/>
    <w:rsid w:val="09D67C66"/>
    <w:rsid w:val="0D0B40DE"/>
    <w:rsid w:val="0E2C6BAF"/>
    <w:rsid w:val="0F7B5A7C"/>
    <w:rsid w:val="14A22454"/>
    <w:rsid w:val="1C555FC6"/>
    <w:rsid w:val="1CC54CEB"/>
    <w:rsid w:val="1F6A3919"/>
    <w:rsid w:val="2378242F"/>
    <w:rsid w:val="251D304F"/>
    <w:rsid w:val="27FC4468"/>
    <w:rsid w:val="2864137D"/>
    <w:rsid w:val="2D462E10"/>
    <w:rsid w:val="2F096FCE"/>
    <w:rsid w:val="329E2EF1"/>
    <w:rsid w:val="346B40A9"/>
    <w:rsid w:val="36D31726"/>
    <w:rsid w:val="39A0476E"/>
    <w:rsid w:val="3A1256D4"/>
    <w:rsid w:val="3B5B6EBD"/>
    <w:rsid w:val="3B8905F9"/>
    <w:rsid w:val="3BA70B39"/>
    <w:rsid w:val="3DA00CA1"/>
    <w:rsid w:val="43BA0B56"/>
    <w:rsid w:val="46937E8E"/>
    <w:rsid w:val="471D661F"/>
    <w:rsid w:val="473A0DD5"/>
    <w:rsid w:val="47C66189"/>
    <w:rsid w:val="4801057E"/>
    <w:rsid w:val="494223B1"/>
    <w:rsid w:val="4BCC057F"/>
    <w:rsid w:val="4D6435C2"/>
    <w:rsid w:val="4D8921F6"/>
    <w:rsid w:val="4E151645"/>
    <w:rsid w:val="4FA16971"/>
    <w:rsid w:val="504753FB"/>
    <w:rsid w:val="50CD3817"/>
    <w:rsid w:val="51935037"/>
    <w:rsid w:val="53767495"/>
    <w:rsid w:val="576E751C"/>
    <w:rsid w:val="586D4E7F"/>
    <w:rsid w:val="5B3F44CA"/>
    <w:rsid w:val="5C9F4A39"/>
    <w:rsid w:val="5DD022F3"/>
    <w:rsid w:val="5F7C42EB"/>
    <w:rsid w:val="61787F41"/>
    <w:rsid w:val="65465834"/>
    <w:rsid w:val="675213C0"/>
    <w:rsid w:val="67BA2652"/>
    <w:rsid w:val="6D2A34CE"/>
    <w:rsid w:val="6DDE19F4"/>
    <w:rsid w:val="6F4F3DC7"/>
    <w:rsid w:val="71F76391"/>
    <w:rsid w:val="743631A3"/>
    <w:rsid w:val="786030C1"/>
    <w:rsid w:val="78B6471C"/>
    <w:rsid w:val="7E231B1C"/>
    <w:rsid w:val="7F2C5802"/>
    <w:rsid w:val="7F9C6DE3"/>
    <w:rsid w:val="7FA01F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4">
    <w:name w:val="heading 2"/>
    <w:basedOn w:val="1"/>
    <w:next w:val="1"/>
    <w:qFormat/>
    <w:uiPriority w:val="0"/>
    <w:pPr>
      <w:keepNext/>
      <w:keepLines/>
      <w:numPr>
        <w:ilvl w:val="1"/>
        <w:numId w:val="2"/>
      </w:numPr>
      <w:spacing w:before="160" w:after="160" w:line="440" w:lineRule="atLeast"/>
      <w:outlineLvl w:val="1"/>
    </w:pPr>
    <w:rPr>
      <w:b/>
      <w:kern w:val="0"/>
      <w:sz w:val="32"/>
      <w:szCs w:val="20"/>
      <w14:shadow w14:blurRad="50800" w14:dist="38100" w14:dir="2700000" w14:sx="100000" w14:sy="100000" w14:kx="0" w14:ky="0" w14:algn="tl">
        <w14:srgbClr w14:val="000000">
          <w14:alpha w14:val="60000"/>
        </w14:srgbClr>
      </w14:shadow>
    </w:rPr>
  </w:style>
  <w:style w:type="paragraph" w:styleId="5">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14:shadow w14:blurRad="50800" w14:dist="38100" w14:dir="2700000" w14:sx="100000" w14:sy="100000" w14:kx="0" w14:ky="0" w14:algn="tl">
        <w14:srgbClr w14:val="000000">
          <w14:alpha w14:val="60000"/>
        </w14:srgbClr>
      </w14:shadow>
    </w:rPr>
  </w:style>
  <w:style w:type="paragraph" w:styleId="6">
    <w:name w:val="heading 4"/>
    <w:basedOn w:val="1"/>
    <w:next w:val="1"/>
    <w:qFormat/>
    <w:uiPriority w:val="0"/>
    <w:pPr>
      <w:keepNext/>
      <w:keepLines/>
      <w:numPr>
        <w:ilvl w:val="3"/>
        <w:numId w:val="2"/>
      </w:numPr>
      <w:spacing w:before="160" w:after="100" w:line="440" w:lineRule="atLeast"/>
      <w:jc w:val="left"/>
      <w:outlineLvl w:val="3"/>
    </w:pPr>
    <w:rPr>
      <w:b/>
      <w:kern w:val="0"/>
      <w:sz w:val="28"/>
      <w:szCs w:val="20"/>
      <w14:shadow w14:blurRad="50800" w14:dist="38100" w14:dir="2700000" w14:sx="100000" w14:sy="100000" w14:kx="0" w14:ky="0" w14:algn="tl">
        <w14:srgbClr w14:val="000000">
          <w14:alpha w14:val="60000"/>
        </w14:srgbClr>
      </w14:shadow>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spacing w:before="100" w:beforeAutospacing="1" w:after="100" w:afterAutospacing="1"/>
      <w:jc w:val="left"/>
    </w:pPr>
    <w:rPr>
      <w:rFonts w:ascii="宋体" w:hAnsi="宋体" w:cs="宋体"/>
    </w:rPr>
  </w:style>
  <w:style w:type="paragraph" w:styleId="7">
    <w:name w:val="Balloon Text"/>
    <w:basedOn w:val="1"/>
    <w:link w:val="13"/>
    <w:qFormat/>
    <w:uiPriority w:val="0"/>
    <w:rPr>
      <w:sz w:val="18"/>
      <w:szCs w:val="18"/>
    </w:rPr>
  </w:style>
  <w:style w:type="paragraph" w:styleId="8">
    <w:name w:val="footer"/>
    <w:basedOn w:val="1"/>
    <w:link w:val="14"/>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7"/>
    <w:qFormat/>
    <w:uiPriority w:val="0"/>
    <w:rPr>
      <w:kern w:val="2"/>
      <w:sz w:val="18"/>
      <w:szCs w:val="18"/>
    </w:rPr>
  </w:style>
  <w:style w:type="character" w:customStyle="1" w:styleId="14">
    <w:name w:val="页脚 字符"/>
    <w:link w:val="8"/>
    <w:qFormat/>
    <w:uiPriority w:val="99"/>
    <w:rPr>
      <w:kern w:val="2"/>
      <w:sz w:val="18"/>
      <w:szCs w:val="18"/>
    </w:rPr>
  </w:style>
  <w:style w:type="paragraph" w:customStyle="1" w:styleId="15">
    <w:name w:val="封皮"/>
    <w:basedOn w:val="1"/>
    <w:qFormat/>
    <w:uiPriority w:val="0"/>
    <w:pPr>
      <w:jc w:val="center"/>
    </w:pPr>
    <w:rPr>
      <w:rFonts w:eastAsia="黑体"/>
      <w:b/>
      <w:sz w:val="72"/>
    </w:rPr>
  </w:style>
  <w:style w:type="paragraph" w:customStyle="1" w:styleId="16">
    <w:name w:val="正文1"/>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4037;&#20316;&#25991;&#20214;&#22841;\&#24120;&#29992;&#25991;&#20070;&#27169;&#26495;\&#25191;&#27861;&#24635;&#38431;&#34892;&#25919;&#22788;&#32602;&#25991;&#20070;&#27169;&#26495;2022.4&#26356;&#26032;\&#34892;&#25919;&#22788;&#32602;&#20915;&#23450;&#20070;&#65288;&#26410;&#21548;&#35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行政处罚决定书（未听证）.dot</Template>
  <Pages>4</Pages>
  <Words>1978</Words>
  <Characters>2141</Characters>
  <Lines>8</Lines>
  <Paragraphs>2</Paragraphs>
  <TotalTime>7</TotalTime>
  <ScaleCrop>false</ScaleCrop>
  <LinksUpToDate>false</LinksUpToDate>
  <CharactersWithSpaces>2168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2022-05-24T07:12:00Z</dcterms:created>
  <dc:creator>唐大果果</dc:creator>
  <cp:lastModifiedBy>孙国力</cp:lastModifiedBy>
  <cp:lastPrinted>2023-05-05T09:38:00Z</cp:lastPrinted>
  <dcterms:modified xsi:type="dcterms:W3CDTF">2023-05-10T01:39:51Z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730E82EB171946218D567F6F085AA7F6</vt:lpwstr>
  </property>
</Properties>
</file>