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line="420" w:lineRule="exact"/>
        <w:jc w:val="center"/>
        <w:rPr>
          <w:rFonts w:eastAsiaTheme="minorEastAsia"/>
          <w:b/>
          <w:color w:val="auto"/>
          <w:sz w:val="48"/>
          <w:szCs w:val="48"/>
        </w:rPr>
      </w:pPr>
    </w:p>
    <w:p>
      <w:pPr>
        <w:spacing w:beforeLines="50" w:line="420" w:lineRule="exact"/>
        <w:jc w:val="center"/>
        <w:rPr>
          <w:rFonts w:eastAsiaTheme="minorEastAsia"/>
          <w:b/>
          <w:color w:val="auto"/>
          <w:sz w:val="48"/>
          <w:szCs w:val="48"/>
        </w:rPr>
      </w:pPr>
    </w:p>
    <w:p>
      <w:pPr>
        <w:spacing w:beforeLines="50" w:line="420" w:lineRule="exact"/>
        <w:jc w:val="center"/>
        <w:rPr>
          <w:rFonts w:eastAsiaTheme="minorEastAsia"/>
          <w:b/>
          <w:color w:val="auto"/>
          <w:sz w:val="48"/>
          <w:szCs w:val="48"/>
        </w:rPr>
      </w:pPr>
    </w:p>
    <w:p>
      <w:pPr>
        <w:spacing w:line="360" w:lineRule="auto"/>
        <w:jc w:val="center"/>
        <w:rPr>
          <w:rFonts w:eastAsiaTheme="majorEastAsia" w:cstheme="majorEastAsia"/>
          <w:b/>
          <w:color w:val="auto"/>
          <w:sz w:val="48"/>
          <w:szCs w:val="48"/>
        </w:rPr>
      </w:pPr>
      <w:r>
        <w:rPr>
          <w:rFonts w:hint="eastAsia" w:eastAsiaTheme="majorEastAsia" w:cstheme="majorEastAsia"/>
          <w:b/>
          <w:color w:val="auto"/>
          <w:sz w:val="48"/>
          <w:szCs w:val="48"/>
        </w:rPr>
        <w:t>天津市近岸海域环境功能区划</w:t>
      </w:r>
    </w:p>
    <w:p>
      <w:pPr>
        <w:spacing w:line="360" w:lineRule="auto"/>
        <w:jc w:val="center"/>
        <w:rPr>
          <w:rFonts w:eastAsiaTheme="majorEastAsia" w:cstheme="majorEastAsia"/>
          <w:b/>
          <w:color w:val="auto"/>
          <w:sz w:val="48"/>
          <w:szCs w:val="48"/>
        </w:rPr>
      </w:pPr>
      <w:r>
        <w:rPr>
          <w:rFonts w:hint="eastAsia" w:eastAsiaTheme="majorEastAsia" w:cstheme="majorEastAsia"/>
          <w:b/>
          <w:color w:val="auto"/>
          <w:sz w:val="48"/>
          <w:szCs w:val="48"/>
        </w:rPr>
        <w:t>（修编）</w:t>
      </w:r>
      <w:bookmarkStart w:id="39" w:name="_GoBack"/>
      <w:bookmarkEnd w:id="39"/>
    </w:p>
    <w:p>
      <w:pPr>
        <w:spacing w:line="360" w:lineRule="auto"/>
        <w:jc w:val="center"/>
        <w:rPr>
          <w:rFonts w:eastAsiaTheme="majorEastAsia" w:cstheme="majorEastAsia"/>
          <w:b/>
          <w:color w:val="auto"/>
          <w:sz w:val="48"/>
          <w:szCs w:val="48"/>
        </w:rPr>
      </w:pPr>
    </w:p>
    <w:p>
      <w:pPr>
        <w:spacing w:line="360" w:lineRule="auto"/>
        <w:jc w:val="center"/>
        <w:rPr>
          <w:rFonts w:eastAsiaTheme="majorEastAsia" w:cstheme="majorEastAsia"/>
          <w:b/>
          <w:color w:val="auto"/>
          <w:sz w:val="48"/>
          <w:szCs w:val="48"/>
        </w:rPr>
      </w:pPr>
      <w:r>
        <w:rPr>
          <w:rFonts w:hint="eastAsia" w:eastAsiaTheme="majorEastAsia" w:cstheme="majorEastAsia"/>
          <w:b/>
          <w:color w:val="auto"/>
          <w:sz w:val="48"/>
          <w:szCs w:val="48"/>
        </w:rPr>
        <w:t>编制说明</w:t>
      </w:r>
    </w:p>
    <w:p>
      <w:pPr>
        <w:spacing w:beforeLines="50" w:line="420" w:lineRule="exact"/>
        <w:jc w:val="center"/>
        <w:rPr>
          <w:rFonts w:eastAsiaTheme="minorEastAsia"/>
          <w:b/>
          <w:color w:val="auto"/>
          <w:sz w:val="48"/>
          <w:szCs w:val="48"/>
        </w:rPr>
      </w:pPr>
    </w:p>
    <w:p>
      <w:pPr>
        <w:spacing w:beforeLines="50" w:line="420" w:lineRule="exact"/>
        <w:jc w:val="center"/>
        <w:rPr>
          <w:rFonts w:eastAsiaTheme="minorEastAsia"/>
          <w:b/>
          <w:color w:val="auto"/>
          <w:sz w:val="48"/>
          <w:szCs w:val="48"/>
        </w:rPr>
      </w:pPr>
    </w:p>
    <w:p>
      <w:pPr>
        <w:spacing w:beforeLines="50" w:line="420" w:lineRule="exact"/>
        <w:jc w:val="center"/>
        <w:rPr>
          <w:rFonts w:eastAsiaTheme="minorEastAsia"/>
          <w:b/>
          <w:color w:val="auto"/>
          <w:sz w:val="48"/>
          <w:szCs w:val="48"/>
        </w:rPr>
      </w:pPr>
    </w:p>
    <w:p>
      <w:pPr>
        <w:spacing w:beforeLines="50" w:line="420" w:lineRule="exact"/>
        <w:jc w:val="center"/>
        <w:rPr>
          <w:rFonts w:eastAsiaTheme="minorEastAsia"/>
          <w:b/>
          <w:color w:val="auto"/>
          <w:sz w:val="48"/>
          <w:szCs w:val="48"/>
        </w:rPr>
      </w:pPr>
    </w:p>
    <w:p>
      <w:pPr>
        <w:spacing w:beforeLines="50" w:line="420" w:lineRule="exact"/>
        <w:jc w:val="center"/>
        <w:rPr>
          <w:rFonts w:eastAsiaTheme="minorEastAsia"/>
          <w:b/>
          <w:color w:val="auto"/>
          <w:sz w:val="48"/>
          <w:szCs w:val="48"/>
        </w:rPr>
      </w:pPr>
    </w:p>
    <w:p>
      <w:pPr>
        <w:spacing w:beforeLines="50" w:line="420" w:lineRule="exact"/>
        <w:jc w:val="center"/>
        <w:rPr>
          <w:rFonts w:eastAsiaTheme="minorEastAsia"/>
          <w:b/>
          <w:color w:val="auto"/>
          <w:sz w:val="48"/>
          <w:szCs w:val="48"/>
        </w:rPr>
      </w:pPr>
    </w:p>
    <w:p>
      <w:pPr>
        <w:spacing w:beforeLines="50" w:line="420" w:lineRule="exact"/>
        <w:jc w:val="center"/>
        <w:rPr>
          <w:rFonts w:eastAsiaTheme="minorEastAsia"/>
          <w:b/>
          <w:color w:val="auto"/>
          <w:sz w:val="48"/>
          <w:szCs w:val="48"/>
        </w:rPr>
      </w:pPr>
    </w:p>
    <w:p>
      <w:pPr>
        <w:spacing w:beforeLines="50" w:line="420" w:lineRule="exact"/>
        <w:jc w:val="center"/>
        <w:rPr>
          <w:rFonts w:eastAsiaTheme="minorEastAsia"/>
          <w:b/>
          <w:color w:val="auto"/>
          <w:sz w:val="48"/>
          <w:szCs w:val="48"/>
        </w:rPr>
      </w:pPr>
    </w:p>
    <w:p>
      <w:pPr>
        <w:spacing w:beforeLines="50" w:line="420" w:lineRule="exact"/>
        <w:jc w:val="center"/>
        <w:rPr>
          <w:rFonts w:eastAsiaTheme="minorEastAsia"/>
          <w:b/>
          <w:color w:val="auto"/>
          <w:sz w:val="48"/>
          <w:szCs w:val="48"/>
        </w:rPr>
      </w:pPr>
    </w:p>
    <w:p>
      <w:pPr>
        <w:spacing w:beforeLines="50" w:line="420" w:lineRule="exact"/>
        <w:jc w:val="center"/>
        <w:rPr>
          <w:rFonts w:eastAsiaTheme="minorEastAsia"/>
          <w:b/>
          <w:color w:val="auto"/>
          <w:sz w:val="48"/>
          <w:szCs w:val="48"/>
        </w:rPr>
      </w:pPr>
    </w:p>
    <w:p>
      <w:pPr>
        <w:spacing w:beforeLines="50" w:line="420" w:lineRule="exact"/>
        <w:jc w:val="center"/>
        <w:rPr>
          <w:rFonts w:eastAsiaTheme="minorEastAsia"/>
          <w:b/>
          <w:color w:val="auto"/>
          <w:sz w:val="48"/>
          <w:szCs w:val="48"/>
        </w:rPr>
      </w:pPr>
    </w:p>
    <w:p>
      <w:pPr>
        <w:spacing w:beforeLines="50" w:line="420" w:lineRule="exact"/>
        <w:jc w:val="center"/>
        <w:rPr>
          <w:rFonts w:eastAsiaTheme="minorEastAsia"/>
          <w:b/>
          <w:color w:val="auto"/>
          <w:sz w:val="48"/>
          <w:szCs w:val="48"/>
        </w:rPr>
      </w:pPr>
    </w:p>
    <w:p>
      <w:pPr>
        <w:spacing w:line="480" w:lineRule="auto"/>
        <w:jc w:val="center"/>
        <w:rPr>
          <w:color w:val="auto"/>
          <w:sz w:val="32"/>
          <w:szCs w:val="32"/>
        </w:rPr>
      </w:pPr>
      <w:r>
        <w:rPr>
          <w:rFonts w:hint="eastAsia"/>
          <w:color w:val="auto"/>
          <w:sz w:val="32"/>
          <w:szCs w:val="32"/>
        </w:rPr>
        <w:t>天津市生态环境局</w:t>
      </w:r>
    </w:p>
    <w:p>
      <w:pPr>
        <w:spacing w:line="480" w:lineRule="auto"/>
        <w:jc w:val="center"/>
        <w:rPr>
          <w:rFonts w:eastAsiaTheme="minorEastAsia"/>
          <w:b/>
          <w:color w:val="auto"/>
          <w:sz w:val="48"/>
          <w:szCs w:val="48"/>
        </w:rPr>
      </w:pPr>
      <w:r>
        <w:rPr>
          <w:rFonts w:hint="eastAsia"/>
          <w:color w:val="auto"/>
          <w:sz w:val="32"/>
          <w:szCs w:val="32"/>
        </w:rPr>
        <w:t>二O二五年七月</w:t>
      </w:r>
      <w:r>
        <w:rPr>
          <w:rFonts w:eastAsiaTheme="minorEastAsia"/>
          <w:b/>
          <w:color w:val="auto"/>
          <w:sz w:val="48"/>
          <w:szCs w:val="48"/>
        </w:rPr>
        <w:br w:type="page"/>
      </w:r>
    </w:p>
    <w:p>
      <w:pPr>
        <w:spacing w:line="360" w:lineRule="auto"/>
        <w:jc w:val="center"/>
        <w:rPr>
          <w:rFonts w:eastAsia="黑体"/>
          <w:bCs/>
          <w:color w:val="auto"/>
          <w:spacing w:val="-32"/>
          <w:sz w:val="44"/>
          <w:szCs w:val="44"/>
        </w:rPr>
      </w:pPr>
      <w:r>
        <w:rPr>
          <w:rFonts w:hint="eastAsia" w:eastAsia="黑体"/>
          <w:bCs/>
          <w:color w:val="auto"/>
          <w:spacing w:val="-32"/>
          <w:sz w:val="44"/>
          <w:szCs w:val="44"/>
        </w:rPr>
        <w:t>目 录</w:t>
      </w:r>
    </w:p>
    <w:sdt>
      <w:sdtPr>
        <w:rPr>
          <w:rFonts w:eastAsia="仿宋"/>
          <w:color w:val="auto"/>
          <w:lang w:val="zh-CN"/>
        </w:rPr>
        <w:id w:val="8929326"/>
        <w:docPartObj>
          <w:docPartGallery w:val="Table of Contents"/>
          <w:docPartUnique/>
        </w:docPartObj>
      </w:sdtPr>
      <w:sdtEndPr>
        <w:rPr>
          <w:rFonts w:eastAsia="仿宋_GB2312"/>
          <w:color w:val="auto"/>
          <w:sz w:val="28"/>
          <w:szCs w:val="28"/>
          <w:lang w:val="en-US"/>
        </w:rPr>
      </w:sdtEndPr>
      <w:sdtContent>
        <w:p>
          <w:pPr>
            <w:pStyle w:val="23"/>
            <w:rPr>
              <w:rFonts w:eastAsiaTheme="minorEastAsia" w:cstheme="minorBidi"/>
              <w:color w:val="auto"/>
              <w:sz w:val="28"/>
              <w:szCs w:val="28"/>
            </w:rPr>
          </w:pPr>
          <w:r>
            <w:rPr>
              <w:rFonts w:eastAsia="仿宋_GB2312"/>
              <w:color w:val="auto"/>
              <w:sz w:val="28"/>
              <w:szCs w:val="28"/>
            </w:rPr>
            <w:fldChar w:fldCharType="begin"/>
          </w:r>
          <w:r>
            <w:rPr>
              <w:rFonts w:eastAsia="仿宋_GB2312"/>
              <w:color w:val="auto"/>
              <w:sz w:val="28"/>
              <w:szCs w:val="28"/>
            </w:rPr>
            <w:instrText xml:space="preserve"> TOC \o "1-3" \h \z \u </w:instrText>
          </w:r>
          <w:r>
            <w:rPr>
              <w:rFonts w:eastAsia="仿宋_GB2312"/>
              <w:color w:val="auto"/>
              <w:sz w:val="28"/>
              <w:szCs w:val="28"/>
            </w:rPr>
            <w:fldChar w:fldCharType="separate"/>
          </w:r>
          <w:r>
            <w:rPr>
              <w:color w:val="auto"/>
            </w:rPr>
            <w:fldChar w:fldCharType="begin"/>
          </w:r>
          <w:r>
            <w:rPr>
              <w:color w:val="auto"/>
            </w:rPr>
            <w:instrText xml:space="preserve"> HYPERLINK \l "_Toc204848718" </w:instrText>
          </w:r>
          <w:r>
            <w:rPr>
              <w:color w:val="auto"/>
            </w:rPr>
            <w:fldChar w:fldCharType="separate"/>
          </w:r>
          <w:r>
            <w:rPr>
              <w:rStyle w:val="37"/>
              <w:rFonts w:eastAsia="仿宋"/>
              <w:color w:val="auto"/>
              <w:sz w:val="32"/>
              <w:szCs w:val="32"/>
            </w:rPr>
            <w:t xml:space="preserve">1 </w:t>
          </w:r>
          <w:r>
            <w:rPr>
              <w:rStyle w:val="37"/>
              <w:rFonts w:hint="eastAsia" w:eastAsia="仿宋"/>
              <w:color w:val="auto"/>
              <w:sz w:val="32"/>
              <w:szCs w:val="32"/>
            </w:rPr>
            <w:t>修编背景与必要性</w:t>
          </w:r>
          <w:r>
            <w:rPr>
              <w:color w:val="auto"/>
              <w:sz w:val="32"/>
              <w:szCs w:val="32"/>
            </w:rPr>
            <w:tab/>
          </w:r>
          <w:r>
            <w:rPr>
              <w:color w:val="auto"/>
              <w:sz w:val="32"/>
              <w:szCs w:val="32"/>
            </w:rPr>
            <w:fldChar w:fldCharType="begin"/>
          </w:r>
          <w:r>
            <w:rPr>
              <w:color w:val="auto"/>
              <w:sz w:val="32"/>
              <w:szCs w:val="32"/>
            </w:rPr>
            <w:instrText xml:space="preserve"> PAGEREF _Toc204848718 \h </w:instrText>
          </w:r>
          <w:r>
            <w:rPr>
              <w:color w:val="auto"/>
              <w:sz w:val="32"/>
              <w:szCs w:val="32"/>
            </w:rPr>
            <w:fldChar w:fldCharType="separate"/>
          </w:r>
          <w:r>
            <w:rPr>
              <w:color w:val="auto"/>
              <w:sz w:val="32"/>
              <w:szCs w:val="32"/>
            </w:rPr>
            <w:t>1</w:t>
          </w:r>
          <w:r>
            <w:rPr>
              <w:color w:val="auto"/>
              <w:sz w:val="32"/>
              <w:szCs w:val="32"/>
            </w:rPr>
            <w:fldChar w:fldCharType="end"/>
          </w:r>
          <w:r>
            <w:rPr>
              <w:color w:val="auto"/>
              <w:sz w:val="32"/>
              <w:szCs w:val="32"/>
            </w:rPr>
            <w:fldChar w:fldCharType="end"/>
          </w:r>
        </w:p>
        <w:p>
          <w:pPr>
            <w:pStyle w:val="26"/>
            <w:tabs>
              <w:tab w:val="right" w:leader="dot" w:pos="8296"/>
            </w:tabs>
            <w:spacing w:line="360" w:lineRule="auto"/>
            <w:ind w:left="420"/>
            <w:rPr>
              <w:rFonts w:ascii="Times New Roman" w:hAnsi="Times New Roman" w:eastAsiaTheme="minorEastAsia" w:cstheme="minorBidi"/>
              <w:color w:val="auto"/>
              <w:sz w:val="28"/>
              <w:szCs w:val="28"/>
            </w:rPr>
          </w:pPr>
          <w:r>
            <w:rPr>
              <w:color w:val="auto"/>
            </w:rPr>
            <w:fldChar w:fldCharType="begin"/>
          </w:r>
          <w:r>
            <w:rPr>
              <w:color w:val="auto"/>
            </w:rPr>
            <w:instrText xml:space="preserve"> HYPERLINK \l "_Toc204848719" </w:instrText>
          </w:r>
          <w:r>
            <w:rPr>
              <w:color w:val="auto"/>
            </w:rPr>
            <w:fldChar w:fldCharType="separate"/>
          </w:r>
          <w:r>
            <w:rPr>
              <w:rStyle w:val="37"/>
              <w:rFonts w:ascii="Times New Roman" w:hAnsi="Times New Roman"/>
              <w:color w:val="auto"/>
              <w:sz w:val="28"/>
              <w:szCs w:val="28"/>
            </w:rPr>
            <w:t xml:space="preserve">1.1 </w:t>
          </w:r>
          <w:r>
            <w:rPr>
              <w:rStyle w:val="37"/>
              <w:rFonts w:hint="eastAsia" w:ascii="Times New Roman"/>
              <w:color w:val="auto"/>
              <w:sz w:val="28"/>
              <w:szCs w:val="28"/>
            </w:rPr>
            <w:t>修编背景</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_Toc204848719 \h </w:instrText>
          </w:r>
          <w:r>
            <w:rPr>
              <w:rFonts w:ascii="Times New Roman" w:hAnsi="Times New Roman"/>
              <w:color w:val="auto"/>
              <w:sz w:val="28"/>
              <w:szCs w:val="28"/>
            </w:rPr>
            <w:fldChar w:fldCharType="separate"/>
          </w:r>
          <w:r>
            <w:rPr>
              <w:rFonts w:ascii="Times New Roman" w:hAnsi="Times New Roman"/>
              <w:color w:val="auto"/>
              <w:sz w:val="28"/>
              <w:szCs w:val="28"/>
            </w:rPr>
            <w:t>1</w:t>
          </w:r>
          <w:r>
            <w:rPr>
              <w:rFonts w:ascii="Times New Roman" w:hAnsi="Times New Roman"/>
              <w:color w:val="auto"/>
              <w:sz w:val="28"/>
              <w:szCs w:val="28"/>
            </w:rPr>
            <w:fldChar w:fldCharType="end"/>
          </w:r>
          <w:r>
            <w:rPr>
              <w:rFonts w:ascii="Times New Roman" w:hAnsi="Times New Roman"/>
              <w:color w:val="auto"/>
              <w:sz w:val="28"/>
              <w:szCs w:val="28"/>
            </w:rPr>
            <w:fldChar w:fldCharType="end"/>
          </w:r>
        </w:p>
        <w:p>
          <w:pPr>
            <w:pStyle w:val="26"/>
            <w:tabs>
              <w:tab w:val="right" w:leader="dot" w:pos="8296"/>
            </w:tabs>
            <w:spacing w:line="360" w:lineRule="auto"/>
            <w:ind w:left="420"/>
            <w:rPr>
              <w:rFonts w:ascii="Times New Roman" w:hAnsi="Times New Roman" w:eastAsiaTheme="minorEastAsia" w:cstheme="minorBidi"/>
              <w:color w:val="auto"/>
              <w:sz w:val="28"/>
              <w:szCs w:val="28"/>
            </w:rPr>
          </w:pPr>
          <w:r>
            <w:rPr>
              <w:color w:val="auto"/>
            </w:rPr>
            <w:fldChar w:fldCharType="begin"/>
          </w:r>
          <w:r>
            <w:rPr>
              <w:color w:val="auto"/>
            </w:rPr>
            <w:instrText xml:space="preserve"> HYPERLINK \l "_Toc204848720" </w:instrText>
          </w:r>
          <w:r>
            <w:rPr>
              <w:color w:val="auto"/>
            </w:rPr>
            <w:fldChar w:fldCharType="separate"/>
          </w:r>
          <w:r>
            <w:rPr>
              <w:rStyle w:val="37"/>
              <w:rFonts w:ascii="Times New Roman" w:hAnsi="Times New Roman"/>
              <w:color w:val="auto"/>
              <w:sz w:val="28"/>
              <w:szCs w:val="28"/>
            </w:rPr>
            <w:t xml:space="preserve">1.2 </w:t>
          </w:r>
          <w:r>
            <w:rPr>
              <w:rStyle w:val="37"/>
              <w:rFonts w:hint="eastAsia" w:ascii="Times New Roman"/>
              <w:color w:val="auto"/>
              <w:sz w:val="28"/>
              <w:szCs w:val="28"/>
            </w:rPr>
            <w:t>修编必要性</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_Toc204848720 \h </w:instrText>
          </w:r>
          <w:r>
            <w:rPr>
              <w:rFonts w:ascii="Times New Roman" w:hAnsi="Times New Roman"/>
              <w:color w:val="auto"/>
              <w:sz w:val="28"/>
              <w:szCs w:val="28"/>
            </w:rPr>
            <w:fldChar w:fldCharType="separate"/>
          </w:r>
          <w:r>
            <w:rPr>
              <w:rFonts w:ascii="Times New Roman" w:hAnsi="Times New Roman"/>
              <w:color w:val="auto"/>
              <w:sz w:val="28"/>
              <w:szCs w:val="28"/>
            </w:rPr>
            <w:t>2</w:t>
          </w:r>
          <w:r>
            <w:rPr>
              <w:rFonts w:ascii="Times New Roman" w:hAnsi="Times New Roman"/>
              <w:color w:val="auto"/>
              <w:sz w:val="28"/>
              <w:szCs w:val="28"/>
            </w:rPr>
            <w:fldChar w:fldCharType="end"/>
          </w:r>
          <w:r>
            <w:rPr>
              <w:rFonts w:ascii="Times New Roman" w:hAnsi="Times New Roman"/>
              <w:color w:val="auto"/>
              <w:sz w:val="28"/>
              <w:szCs w:val="28"/>
            </w:rPr>
            <w:fldChar w:fldCharType="end"/>
          </w:r>
        </w:p>
        <w:p>
          <w:pPr>
            <w:pStyle w:val="23"/>
            <w:rPr>
              <w:rFonts w:eastAsiaTheme="minorEastAsia" w:cstheme="minorBidi"/>
              <w:color w:val="auto"/>
              <w:sz w:val="32"/>
              <w:szCs w:val="32"/>
            </w:rPr>
          </w:pPr>
          <w:r>
            <w:rPr>
              <w:color w:val="auto"/>
            </w:rPr>
            <w:fldChar w:fldCharType="begin"/>
          </w:r>
          <w:r>
            <w:rPr>
              <w:color w:val="auto"/>
            </w:rPr>
            <w:instrText xml:space="preserve"> HYPERLINK \l "_Toc204848721" </w:instrText>
          </w:r>
          <w:r>
            <w:rPr>
              <w:color w:val="auto"/>
            </w:rPr>
            <w:fldChar w:fldCharType="separate"/>
          </w:r>
          <w:r>
            <w:rPr>
              <w:rStyle w:val="37"/>
              <w:rFonts w:eastAsia="仿宋"/>
              <w:color w:val="auto"/>
              <w:sz w:val="32"/>
              <w:szCs w:val="32"/>
            </w:rPr>
            <w:t xml:space="preserve">2 </w:t>
          </w:r>
          <w:r>
            <w:rPr>
              <w:rStyle w:val="37"/>
              <w:rFonts w:hint="eastAsia" w:eastAsia="仿宋"/>
              <w:color w:val="auto"/>
              <w:sz w:val="32"/>
              <w:szCs w:val="32"/>
            </w:rPr>
            <w:t>工作过程</w:t>
          </w:r>
          <w:r>
            <w:rPr>
              <w:color w:val="auto"/>
              <w:sz w:val="32"/>
              <w:szCs w:val="32"/>
            </w:rPr>
            <w:tab/>
          </w:r>
          <w:r>
            <w:rPr>
              <w:color w:val="auto"/>
              <w:sz w:val="32"/>
              <w:szCs w:val="32"/>
            </w:rPr>
            <w:fldChar w:fldCharType="begin"/>
          </w:r>
          <w:r>
            <w:rPr>
              <w:color w:val="auto"/>
              <w:sz w:val="32"/>
              <w:szCs w:val="32"/>
            </w:rPr>
            <w:instrText xml:space="preserve"> PAGEREF _Toc204848721 \h </w:instrText>
          </w:r>
          <w:r>
            <w:rPr>
              <w:color w:val="auto"/>
              <w:sz w:val="32"/>
              <w:szCs w:val="32"/>
            </w:rPr>
            <w:fldChar w:fldCharType="separate"/>
          </w:r>
          <w:r>
            <w:rPr>
              <w:color w:val="auto"/>
              <w:sz w:val="32"/>
              <w:szCs w:val="32"/>
            </w:rPr>
            <w:t>4</w:t>
          </w:r>
          <w:r>
            <w:rPr>
              <w:color w:val="auto"/>
              <w:sz w:val="32"/>
              <w:szCs w:val="32"/>
            </w:rPr>
            <w:fldChar w:fldCharType="end"/>
          </w:r>
          <w:r>
            <w:rPr>
              <w:color w:val="auto"/>
              <w:sz w:val="32"/>
              <w:szCs w:val="32"/>
            </w:rPr>
            <w:fldChar w:fldCharType="end"/>
          </w:r>
        </w:p>
        <w:p>
          <w:pPr>
            <w:pStyle w:val="23"/>
            <w:rPr>
              <w:rFonts w:eastAsiaTheme="minorEastAsia" w:cstheme="minorBidi"/>
              <w:color w:val="auto"/>
              <w:sz w:val="32"/>
              <w:szCs w:val="32"/>
            </w:rPr>
          </w:pPr>
          <w:r>
            <w:rPr>
              <w:color w:val="auto"/>
            </w:rPr>
            <w:fldChar w:fldCharType="begin"/>
          </w:r>
          <w:r>
            <w:rPr>
              <w:color w:val="auto"/>
            </w:rPr>
            <w:instrText xml:space="preserve"> HYPERLINK \l "_Toc204848722" </w:instrText>
          </w:r>
          <w:r>
            <w:rPr>
              <w:color w:val="auto"/>
            </w:rPr>
            <w:fldChar w:fldCharType="separate"/>
          </w:r>
          <w:r>
            <w:rPr>
              <w:rStyle w:val="37"/>
              <w:rFonts w:eastAsia="仿宋"/>
              <w:color w:val="auto"/>
              <w:sz w:val="32"/>
              <w:szCs w:val="32"/>
            </w:rPr>
            <w:t xml:space="preserve">3 </w:t>
          </w:r>
          <w:r>
            <w:rPr>
              <w:rStyle w:val="37"/>
              <w:rFonts w:hint="eastAsia" w:eastAsia="仿宋"/>
              <w:color w:val="auto"/>
              <w:sz w:val="32"/>
              <w:szCs w:val="32"/>
            </w:rPr>
            <w:t>修编的基本原则和技术路线</w:t>
          </w:r>
          <w:r>
            <w:rPr>
              <w:color w:val="auto"/>
              <w:sz w:val="32"/>
              <w:szCs w:val="32"/>
            </w:rPr>
            <w:tab/>
          </w:r>
          <w:r>
            <w:rPr>
              <w:color w:val="auto"/>
              <w:sz w:val="32"/>
              <w:szCs w:val="32"/>
            </w:rPr>
            <w:fldChar w:fldCharType="begin"/>
          </w:r>
          <w:r>
            <w:rPr>
              <w:color w:val="auto"/>
              <w:sz w:val="32"/>
              <w:szCs w:val="32"/>
            </w:rPr>
            <w:instrText xml:space="preserve"> PAGEREF _Toc204848722 \h </w:instrText>
          </w:r>
          <w:r>
            <w:rPr>
              <w:color w:val="auto"/>
              <w:sz w:val="32"/>
              <w:szCs w:val="32"/>
            </w:rPr>
            <w:fldChar w:fldCharType="separate"/>
          </w:r>
          <w:r>
            <w:rPr>
              <w:color w:val="auto"/>
              <w:sz w:val="32"/>
              <w:szCs w:val="32"/>
            </w:rPr>
            <w:t>5</w:t>
          </w:r>
          <w:r>
            <w:rPr>
              <w:color w:val="auto"/>
              <w:sz w:val="32"/>
              <w:szCs w:val="32"/>
            </w:rPr>
            <w:fldChar w:fldCharType="end"/>
          </w:r>
          <w:r>
            <w:rPr>
              <w:color w:val="auto"/>
              <w:sz w:val="32"/>
              <w:szCs w:val="32"/>
            </w:rPr>
            <w:fldChar w:fldCharType="end"/>
          </w:r>
        </w:p>
        <w:p>
          <w:pPr>
            <w:pStyle w:val="26"/>
            <w:tabs>
              <w:tab w:val="right" w:leader="dot" w:pos="8296"/>
            </w:tabs>
            <w:spacing w:line="360" w:lineRule="auto"/>
            <w:ind w:left="420"/>
            <w:rPr>
              <w:rFonts w:ascii="Times New Roman" w:hAnsi="Times New Roman" w:eastAsiaTheme="minorEastAsia" w:cstheme="minorBidi"/>
              <w:color w:val="auto"/>
              <w:sz w:val="28"/>
              <w:szCs w:val="28"/>
            </w:rPr>
          </w:pPr>
          <w:r>
            <w:rPr>
              <w:color w:val="auto"/>
            </w:rPr>
            <w:fldChar w:fldCharType="begin"/>
          </w:r>
          <w:r>
            <w:rPr>
              <w:color w:val="auto"/>
            </w:rPr>
            <w:instrText xml:space="preserve"> HYPERLINK \l "_Toc204848723" </w:instrText>
          </w:r>
          <w:r>
            <w:rPr>
              <w:color w:val="auto"/>
            </w:rPr>
            <w:fldChar w:fldCharType="separate"/>
          </w:r>
          <w:r>
            <w:rPr>
              <w:rStyle w:val="37"/>
              <w:rFonts w:ascii="Times New Roman" w:hAnsi="Times New Roman"/>
              <w:color w:val="auto"/>
              <w:sz w:val="28"/>
              <w:szCs w:val="28"/>
            </w:rPr>
            <w:t xml:space="preserve">3.1 </w:t>
          </w:r>
          <w:r>
            <w:rPr>
              <w:rStyle w:val="37"/>
              <w:rFonts w:hint="eastAsia" w:ascii="Times New Roman"/>
              <w:color w:val="auto"/>
              <w:sz w:val="28"/>
              <w:szCs w:val="28"/>
            </w:rPr>
            <w:t>基本原则</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_Toc204848723 \h </w:instrText>
          </w:r>
          <w:r>
            <w:rPr>
              <w:rFonts w:ascii="Times New Roman" w:hAnsi="Times New Roman"/>
              <w:color w:val="auto"/>
              <w:sz w:val="28"/>
              <w:szCs w:val="28"/>
            </w:rPr>
            <w:fldChar w:fldCharType="separate"/>
          </w:r>
          <w:r>
            <w:rPr>
              <w:rFonts w:ascii="Times New Roman" w:hAnsi="Times New Roman"/>
              <w:color w:val="auto"/>
              <w:sz w:val="28"/>
              <w:szCs w:val="28"/>
            </w:rPr>
            <w:t>5</w:t>
          </w:r>
          <w:r>
            <w:rPr>
              <w:rFonts w:ascii="Times New Roman" w:hAnsi="Times New Roman"/>
              <w:color w:val="auto"/>
              <w:sz w:val="28"/>
              <w:szCs w:val="28"/>
            </w:rPr>
            <w:fldChar w:fldCharType="end"/>
          </w:r>
          <w:r>
            <w:rPr>
              <w:rFonts w:ascii="Times New Roman" w:hAnsi="Times New Roman"/>
              <w:color w:val="auto"/>
              <w:sz w:val="28"/>
              <w:szCs w:val="28"/>
            </w:rPr>
            <w:fldChar w:fldCharType="end"/>
          </w:r>
        </w:p>
        <w:p>
          <w:pPr>
            <w:pStyle w:val="26"/>
            <w:tabs>
              <w:tab w:val="right" w:leader="dot" w:pos="8296"/>
            </w:tabs>
            <w:spacing w:line="360" w:lineRule="auto"/>
            <w:ind w:left="420"/>
            <w:rPr>
              <w:rFonts w:ascii="Times New Roman" w:hAnsi="Times New Roman" w:eastAsiaTheme="minorEastAsia" w:cstheme="minorBidi"/>
              <w:color w:val="auto"/>
              <w:sz w:val="28"/>
              <w:szCs w:val="28"/>
            </w:rPr>
          </w:pPr>
          <w:r>
            <w:rPr>
              <w:color w:val="auto"/>
            </w:rPr>
            <w:fldChar w:fldCharType="begin"/>
          </w:r>
          <w:r>
            <w:rPr>
              <w:color w:val="auto"/>
            </w:rPr>
            <w:instrText xml:space="preserve"> HYPERLINK \l "_Toc204848724" </w:instrText>
          </w:r>
          <w:r>
            <w:rPr>
              <w:color w:val="auto"/>
            </w:rPr>
            <w:fldChar w:fldCharType="separate"/>
          </w:r>
          <w:r>
            <w:rPr>
              <w:rStyle w:val="37"/>
              <w:rFonts w:ascii="Times New Roman" w:hAnsi="Times New Roman"/>
              <w:color w:val="auto"/>
              <w:sz w:val="28"/>
              <w:szCs w:val="28"/>
            </w:rPr>
            <w:t xml:space="preserve">3.1 </w:t>
          </w:r>
          <w:r>
            <w:rPr>
              <w:rStyle w:val="37"/>
              <w:rFonts w:hint="eastAsia" w:ascii="Times New Roman"/>
              <w:color w:val="auto"/>
              <w:sz w:val="28"/>
              <w:szCs w:val="28"/>
            </w:rPr>
            <w:t>技术路线</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_Toc204848724 \h </w:instrText>
          </w:r>
          <w:r>
            <w:rPr>
              <w:rFonts w:ascii="Times New Roman" w:hAnsi="Times New Roman"/>
              <w:color w:val="auto"/>
              <w:sz w:val="28"/>
              <w:szCs w:val="28"/>
            </w:rPr>
            <w:fldChar w:fldCharType="separate"/>
          </w:r>
          <w:r>
            <w:rPr>
              <w:rFonts w:ascii="Times New Roman" w:hAnsi="Times New Roman"/>
              <w:color w:val="auto"/>
              <w:sz w:val="28"/>
              <w:szCs w:val="28"/>
            </w:rPr>
            <w:t>6</w:t>
          </w:r>
          <w:r>
            <w:rPr>
              <w:rFonts w:ascii="Times New Roman" w:hAnsi="Times New Roman"/>
              <w:color w:val="auto"/>
              <w:sz w:val="28"/>
              <w:szCs w:val="28"/>
            </w:rPr>
            <w:fldChar w:fldCharType="end"/>
          </w:r>
          <w:r>
            <w:rPr>
              <w:rFonts w:ascii="Times New Roman" w:hAnsi="Times New Roman"/>
              <w:color w:val="auto"/>
              <w:sz w:val="28"/>
              <w:szCs w:val="28"/>
            </w:rPr>
            <w:fldChar w:fldCharType="end"/>
          </w:r>
        </w:p>
        <w:p>
          <w:pPr>
            <w:pStyle w:val="23"/>
            <w:rPr>
              <w:rFonts w:eastAsiaTheme="minorEastAsia" w:cstheme="minorBidi"/>
              <w:color w:val="auto"/>
              <w:sz w:val="32"/>
              <w:szCs w:val="32"/>
            </w:rPr>
          </w:pPr>
          <w:r>
            <w:rPr>
              <w:color w:val="auto"/>
            </w:rPr>
            <w:fldChar w:fldCharType="begin"/>
          </w:r>
          <w:r>
            <w:rPr>
              <w:color w:val="auto"/>
            </w:rPr>
            <w:instrText xml:space="preserve"> HYPERLINK \l "_Toc204848725" </w:instrText>
          </w:r>
          <w:r>
            <w:rPr>
              <w:color w:val="auto"/>
            </w:rPr>
            <w:fldChar w:fldCharType="separate"/>
          </w:r>
          <w:r>
            <w:rPr>
              <w:rStyle w:val="37"/>
              <w:rFonts w:eastAsia="仿宋"/>
              <w:color w:val="auto"/>
              <w:sz w:val="32"/>
              <w:szCs w:val="32"/>
            </w:rPr>
            <w:t xml:space="preserve">4 </w:t>
          </w:r>
          <w:r>
            <w:rPr>
              <w:rStyle w:val="37"/>
              <w:rFonts w:hint="eastAsia" w:eastAsia="仿宋"/>
              <w:color w:val="auto"/>
              <w:sz w:val="32"/>
              <w:szCs w:val="32"/>
            </w:rPr>
            <w:t>现状分析</w:t>
          </w:r>
          <w:r>
            <w:rPr>
              <w:color w:val="auto"/>
              <w:sz w:val="32"/>
              <w:szCs w:val="32"/>
            </w:rPr>
            <w:tab/>
          </w:r>
          <w:r>
            <w:rPr>
              <w:color w:val="auto"/>
              <w:sz w:val="32"/>
              <w:szCs w:val="32"/>
            </w:rPr>
            <w:fldChar w:fldCharType="begin"/>
          </w:r>
          <w:r>
            <w:rPr>
              <w:color w:val="auto"/>
              <w:sz w:val="32"/>
              <w:szCs w:val="32"/>
            </w:rPr>
            <w:instrText xml:space="preserve"> PAGEREF _Toc204848725 \h </w:instrText>
          </w:r>
          <w:r>
            <w:rPr>
              <w:color w:val="auto"/>
              <w:sz w:val="32"/>
              <w:szCs w:val="32"/>
            </w:rPr>
            <w:fldChar w:fldCharType="separate"/>
          </w:r>
          <w:r>
            <w:rPr>
              <w:color w:val="auto"/>
              <w:sz w:val="32"/>
              <w:szCs w:val="32"/>
            </w:rPr>
            <w:t>8</w:t>
          </w:r>
          <w:r>
            <w:rPr>
              <w:color w:val="auto"/>
              <w:sz w:val="32"/>
              <w:szCs w:val="32"/>
            </w:rPr>
            <w:fldChar w:fldCharType="end"/>
          </w:r>
          <w:r>
            <w:rPr>
              <w:color w:val="auto"/>
              <w:sz w:val="32"/>
              <w:szCs w:val="32"/>
            </w:rPr>
            <w:fldChar w:fldCharType="end"/>
          </w:r>
        </w:p>
        <w:p>
          <w:pPr>
            <w:pStyle w:val="26"/>
            <w:tabs>
              <w:tab w:val="right" w:leader="dot" w:pos="8296"/>
            </w:tabs>
            <w:spacing w:line="360" w:lineRule="auto"/>
            <w:ind w:left="420"/>
            <w:rPr>
              <w:rFonts w:ascii="Times New Roman" w:hAnsi="Times New Roman" w:eastAsiaTheme="minorEastAsia" w:cstheme="minorBidi"/>
              <w:color w:val="auto"/>
              <w:sz w:val="28"/>
              <w:szCs w:val="28"/>
            </w:rPr>
          </w:pPr>
          <w:r>
            <w:rPr>
              <w:color w:val="auto"/>
            </w:rPr>
            <w:fldChar w:fldCharType="begin"/>
          </w:r>
          <w:r>
            <w:rPr>
              <w:color w:val="auto"/>
            </w:rPr>
            <w:instrText xml:space="preserve"> HYPERLINK \l "_Toc204848726" </w:instrText>
          </w:r>
          <w:r>
            <w:rPr>
              <w:color w:val="auto"/>
            </w:rPr>
            <w:fldChar w:fldCharType="separate"/>
          </w:r>
          <w:r>
            <w:rPr>
              <w:rStyle w:val="37"/>
              <w:rFonts w:ascii="Times New Roman" w:hAnsi="Times New Roman"/>
              <w:color w:val="auto"/>
              <w:sz w:val="28"/>
              <w:szCs w:val="28"/>
            </w:rPr>
            <w:t xml:space="preserve">4.1 </w:t>
          </w:r>
          <w:r>
            <w:rPr>
              <w:rStyle w:val="37"/>
              <w:rFonts w:hint="eastAsia" w:ascii="Times New Roman"/>
              <w:color w:val="auto"/>
              <w:sz w:val="28"/>
              <w:szCs w:val="28"/>
            </w:rPr>
            <w:t>近岸海域环境质量现状</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_Toc204848726 \h </w:instrText>
          </w:r>
          <w:r>
            <w:rPr>
              <w:rFonts w:ascii="Times New Roman" w:hAnsi="Times New Roman"/>
              <w:color w:val="auto"/>
              <w:sz w:val="28"/>
              <w:szCs w:val="28"/>
            </w:rPr>
            <w:fldChar w:fldCharType="separate"/>
          </w:r>
          <w:r>
            <w:rPr>
              <w:rFonts w:ascii="Times New Roman" w:hAnsi="Times New Roman"/>
              <w:color w:val="auto"/>
              <w:sz w:val="28"/>
              <w:szCs w:val="28"/>
            </w:rPr>
            <w:t>9</w:t>
          </w:r>
          <w:r>
            <w:rPr>
              <w:rFonts w:ascii="Times New Roman" w:hAnsi="Times New Roman"/>
              <w:color w:val="auto"/>
              <w:sz w:val="28"/>
              <w:szCs w:val="28"/>
            </w:rPr>
            <w:fldChar w:fldCharType="end"/>
          </w:r>
          <w:r>
            <w:rPr>
              <w:rFonts w:ascii="Times New Roman" w:hAnsi="Times New Roman"/>
              <w:color w:val="auto"/>
              <w:sz w:val="28"/>
              <w:szCs w:val="28"/>
            </w:rPr>
            <w:fldChar w:fldCharType="end"/>
          </w:r>
        </w:p>
        <w:p>
          <w:pPr>
            <w:pStyle w:val="26"/>
            <w:tabs>
              <w:tab w:val="right" w:leader="dot" w:pos="8296"/>
            </w:tabs>
            <w:spacing w:line="360" w:lineRule="auto"/>
            <w:ind w:left="420"/>
            <w:rPr>
              <w:rFonts w:ascii="Times New Roman" w:hAnsi="Times New Roman" w:eastAsiaTheme="minorEastAsia" w:cstheme="minorBidi"/>
              <w:color w:val="auto"/>
              <w:sz w:val="28"/>
              <w:szCs w:val="28"/>
            </w:rPr>
          </w:pPr>
          <w:r>
            <w:rPr>
              <w:color w:val="auto"/>
            </w:rPr>
            <w:fldChar w:fldCharType="begin"/>
          </w:r>
          <w:r>
            <w:rPr>
              <w:color w:val="auto"/>
            </w:rPr>
            <w:instrText xml:space="preserve"> HYPERLINK \l "_Toc204848727" </w:instrText>
          </w:r>
          <w:r>
            <w:rPr>
              <w:color w:val="auto"/>
            </w:rPr>
            <w:fldChar w:fldCharType="separate"/>
          </w:r>
          <w:r>
            <w:rPr>
              <w:rStyle w:val="37"/>
              <w:rFonts w:ascii="Times New Roman" w:hAnsi="Times New Roman"/>
              <w:color w:val="auto"/>
              <w:sz w:val="28"/>
              <w:szCs w:val="28"/>
            </w:rPr>
            <w:t xml:space="preserve">4.2 </w:t>
          </w:r>
          <w:r>
            <w:rPr>
              <w:rStyle w:val="37"/>
              <w:rFonts w:hint="eastAsia" w:ascii="Times New Roman"/>
              <w:color w:val="auto"/>
              <w:sz w:val="28"/>
              <w:szCs w:val="28"/>
            </w:rPr>
            <w:t>入海污染源排放现状</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_Toc204848727 \h </w:instrText>
          </w:r>
          <w:r>
            <w:rPr>
              <w:rFonts w:ascii="Times New Roman" w:hAnsi="Times New Roman"/>
              <w:color w:val="auto"/>
              <w:sz w:val="28"/>
              <w:szCs w:val="28"/>
            </w:rPr>
            <w:fldChar w:fldCharType="separate"/>
          </w:r>
          <w:r>
            <w:rPr>
              <w:rFonts w:ascii="Times New Roman" w:hAnsi="Times New Roman"/>
              <w:color w:val="auto"/>
              <w:sz w:val="28"/>
              <w:szCs w:val="28"/>
            </w:rPr>
            <w:t>10</w:t>
          </w:r>
          <w:r>
            <w:rPr>
              <w:rFonts w:ascii="Times New Roman" w:hAnsi="Times New Roman"/>
              <w:color w:val="auto"/>
              <w:sz w:val="28"/>
              <w:szCs w:val="28"/>
            </w:rPr>
            <w:fldChar w:fldCharType="end"/>
          </w:r>
          <w:r>
            <w:rPr>
              <w:rFonts w:ascii="Times New Roman" w:hAnsi="Times New Roman"/>
              <w:color w:val="auto"/>
              <w:sz w:val="28"/>
              <w:szCs w:val="28"/>
            </w:rPr>
            <w:fldChar w:fldCharType="end"/>
          </w:r>
        </w:p>
        <w:p>
          <w:pPr>
            <w:pStyle w:val="26"/>
            <w:tabs>
              <w:tab w:val="right" w:leader="dot" w:pos="8296"/>
            </w:tabs>
            <w:spacing w:line="360" w:lineRule="auto"/>
            <w:ind w:left="420"/>
            <w:rPr>
              <w:rFonts w:ascii="Times New Roman" w:hAnsi="Times New Roman" w:eastAsiaTheme="minorEastAsia" w:cstheme="minorBidi"/>
              <w:color w:val="auto"/>
              <w:sz w:val="28"/>
              <w:szCs w:val="28"/>
            </w:rPr>
          </w:pPr>
          <w:r>
            <w:rPr>
              <w:color w:val="auto"/>
            </w:rPr>
            <w:fldChar w:fldCharType="begin"/>
          </w:r>
          <w:r>
            <w:rPr>
              <w:color w:val="auto"/>
            </w:rPr>
            <w:instrText xml:space="preserve"> HYPERLINK \l "_Toc204848728" </w:instrText>
          </w:r>
          <w:r>
            <w:rPr>
              <w:color w:val="auto"/>
            </w:rPr>
            <w:fldChar w:fldCharType="separate"/>
          </w:r>
          <w:r>
            <w:rPr>
              <w:rStyle w:val="37"/>
              <w:rFonts w:ascii="Times New Roman" w:hAnsi="Times New Roman"/>
              <w:color w:val="auto"/>
              <w:sz w:val="28"/>
              <w:szCs w:val="28"/>
            </w:rPr>
            <w:t xml:space="preserve">4.3 </w:t>
          </w:r>
          <w:r>
            <w:rPr>
              <w:rStyle w:val="37"/>
              <w:rFonts w:hint="eastAsia" w:ascii="Times New Roman"/>
              <w:color w:val="auto"/>
              <w:sz w:val="28"/>
              <w:szCs w:val="28"/>
            </w:rPr>
            <w:t>社会经济发展现状</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_Toc204848728 \h </w:instrText>
          </w:r>
          <w:r>
            <w:rPr>
              <w:rFonts w:ascii="Times New Roman" w:hAnsi="Times New Roman"/>
              <w:color w:val="auto"/>
              <w:sz w:val="28"/>
              <w:szCs w:val="28"/>
            </w:rPr>
            <w:fldChar w:fldCharType="separate"/>
          </w:r>
          <w:r>
            <w:rPr>
              <w:rFonts w:ascii="Times New Roman" w:hAnsi="Times New Roman"/>
              <w:color w:val="auto"/>
              <w:sz w:val="28"/>
              <w:szCs w:val="28"/>
            </w:rPr>
            <w:t>10</w:t>
          </w:r>
          <w:r>
            <w:rPr>
              <w:rFonts w:ascii="Times New Roman" w:hAnsi="Times New Roman"/>
              <w:color w:val="auto"/>
              <w:sz w:val="28"/>
              <w:szCs w:val="28"/>
            </w:rPr>
            <w:fldChar w:fldCharType="end"/>
          </w:r>
          <w:r>
            <w:rPr>
              <w:rFonts w:ascii="Times New Roman" w:hAnsi="Times New Roman"/>
              <w:color w:val="auto"/>
              <w:sz w:val="28"/>
              <w:szCs w:val="28"/>
            </w:rPr>
            <w:fldChar w:fldCharType="end"/>
          </w:r>
        </w:p>
        <w:p>
          <w:pPr>
            <w:pStyle w:val="23"/>
            <w:rPr>
              <w:rFonts w:eastAsiaTheme="minorEastAsia" w:cstheme="minorBidi"/>
              <w:color w:val="auto"/>
              <w:sz w:val="32"/>
              <w:szCs w:val="32"/>
            </w:rPr>
          </w:pPr>
          <w:r>
            <w:rPr>
              <w:color w:val="auto"/>
            </w:rPr>
            <w:fldChar w:fldCharType="begin"/>
          </w:r>
          <w:r>
            <w:rPr>
              <w:color w:val="auto"/>
            </w:rPr>
            <w:instrText xml:space="preserve"> HYPERLINK \l "_Toc204848729" </w:instrText>
          </w:r>
          <w:r>
            <w:rPr>
              <w:color w:val="auto"/>
            </w:rPr>
            <w:fldChar w:fldCharType="separate"/>
          </w:r>
          <w:r>
            <w:rPr>
              <w:rStyle w:val="37"/>
              <w:rFonts w:eastAsia="仿宋"/>
              <w:color w:val="auto"/>
              <w:sz w:val="32"/>
              <w:szCs w:val="32"/>
            </w:rPr>
            <w:t xml:space="preserve">5 </w:t>
          </w:r>
          <w:r>
            <w:rPr>
              <w:rStyle w:val="37"/>
              <w:rFonts w:hint="eastAsia" w:eastAsia="仿宋"/>
              <w:color w:val="auto"/>
              <w:sz w:val="32"/>
              <w:szCs w:val="32"/>
            </w:rPr>
            <w:t>功能区划修编情况</w:t>
          </w:r>
          <w:r>
            <w:rPr>
              <w:color w:val="auto"/>
              <w:sz w:val="32"/>
              <w:szCs w:val="32"/>
            </w:rPr>
            <w:tab/>
          </w:r>
          <w:r>
            <w:rPr>
              <w:color w:val="auto"/>
              <w:sz w:val="32"/>
              <w:szCs w:val="32"/>
            </w:rPr>
            <w:fldChar w:fldCharType="begin"/>
          </w:r>
          <w:r>
            <w:rPr>
              <w:color w:val="auto"/>
              <w:sz w:val="32"/>
              <w:szCs w:val="32"/>
            </w:rPr>
            <w:instrText xml:space="preserve"> PAGEREF _Toc204848729 \h </w:instrText>
          </w:r>
          <w:r>
            <w:rPr>
              <w:color w:val="auto"/>
              <w:sz w:val="32"/>
              <w:szCs w:val="32"/>
            </w:rPr>
            <w:fldChar w:fldCharType="separate"/>
          </w:r>
          <w:r>
            <w:rPr>
              <w:color w:val="auto"/>
              <w:sz w:val="32"/>
              <w:szCs w:val="32"/>
            </w:rPr>
            <w:t>11</w:t>
          </w:r>
          <w:r>
            <w:rPr>
              <w:color w:val="auto"/>
              <w:sz w:val="32"/>
              <w:szCs w:val="32"/>
            </w:rPr>
            <w:fldChar w:fldCharType="end"/>
          </w:r>
          <w:r>
            <w:rPr>
              <w:color w:val="auto"/>
              <w:sz w:val="32"/>
              <w:szCs w:val="32"/>
            </w:rPr>
            <w:fldChar w:fldCharType="end"/>
          </w:r>
        </w:p>
        <w:p>
          <w:pPr>
            <w:pStyle w:val="26"/>
            <w:tabs>
              <w:tab w:val="right" w:leader="dot" w:pos="8296"/>
            </w:tabs>
            <w:spacing w:line="360" w:lineRule="auto"/>
            <w:ind w:left="420"/>
            <w:rPr>
              <w:rFonts w:ascii="Times New Roman" w:hAnsi="Times New Roman" w:eastAsiaTheme="minorEastAsia" w:cstheme="minorBidi"/>
              <w:color w:val="auto"/>
              <w:sz w:val="28"/>
              <w:szCs w:val="28"/>
            </w:rPr>
          </w:pPr>
          <w:r>
            <w:rPr>
              <w:color w:val="auto"/>
            </w:rPr>
            <w:fldChar w:fldCharType="begin"/>
          </w:r>
          <w:r>
            <w:rPr>
              <w:color w:val="auto"/>
            </w:rPr>
            <w:instrText xml:space="preserve"> HYPERLINK \l "_Toc204848730" </w:instrText>
          </w:r>
          <w:r>
            <w:rPr>
              <w:color w:val="auto"/>
            </w:rPr>
            <w:fldChar w:fldCharType="separate"/>
          </w:r>
          <w:r>
            <w:rPr>
              <w:rStyle w:val="37"/>
              <w:rFonts w:ascii="Times New Roman" w:hAnsi="Times New Roman"/>
              <w:color w:val="auto"/>
              <w:sz w:val="28"/>
              <w:szCs w:val="28"/>
            </w:rPr>
            <w:t xml:space="preserve">5.1 </w:t>
          </w:r>
          <w:r>
            <w:rPr>
              <w:rStyle w:val="37"/>
              <w:rFonts w:hint="eastAsia" w:ascii="Times New Roman"/>
              <w:color w:val="auto"/>
              <w:sz w:val="28"/>
              <w:szCs w:val="28"/>
            </w:rPr>
            <w:t>《原区划》情况</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_Toc204848730 \h </w:instrText>
          </w:r>
          <w:r>
            <w:rPr>
              <w:rFonts w:ascii="Times New Roman" w:hAnsi="Times New Roman"/>
              <w:color w:val="auto"/>
              <w:sz w:val="28"/>
              <w:szCs w:val="28"/>
            </w:rPr>
            <w:fldChar w:fldCharType="separate"/>
          </w:r>
          <w:r>
            <w:rPr>
              <w:rFonts w:ascii="Times New Roman" w:hAnsi="Times New Roman"/>
              <w:color w:val="auto"/>
              <w:sz w:val="28"/>
              <w:szCs w:val="28"/>
            </w:rPr>
            <w:t>11</w:t>
          </w:r>
          <w:r>
            <w:rPr>
              <w:rFonts w:ascii="Times New Roman" w:hAnsi="Times New Roman"/>
              <w:color w:val="auto"/>
              <w:sz w:val="28"/>
              <w:szCs w:val="28"/>
            </w:rPr>
            <w:fldChar w:fldCharType="end"/>
          </w:r>
          <w:r>
            <w:rPr>
              <w:rFonts w:ascii="Times New Roman" w:hAnsi="Times New Roman"/>
              <w:color w:val="auto"/>
              <w:sz w:val="28"/>
              <w:szCs w:val="28"/>
            </w:rPr>
            <w:fldChar w:fldCharType="end"/>
          </w:r>
        </w:p>
        <w:p>
          <w:pPr>
            <w:pStyle w:val="26"/>
            <w:tabs>
              <w:tab w:val="right" w:leader="dot" w:pos="8296"/>
            </w:tabs>
            <w:spacing w:line="360" w:lineRule="auto"/>
            <w:ind w:left="420"/>
            <w:rPr>
              <w:rFonts w:ascii="Times New Roman" w:hAnsi="Times New Roman" w:eastAsiaTheme="minorEastAsia" w:cstheme="minorBidi"/>
              <w:color w:val="auto"/>
              <w:sz w:val="28"/>
              <w:szCs w:val="28"/>
            </w:rPr>
          </w:pPr>
          <w:r>
            <w:rPr>
              <w:color w:val="auto"/>
            </w:rPr>
            <w:fldChar w:fldCharType="begin"/>
          </w:r>
          <w:r>
            <w:rPr>
              <w:color w:val="auto"/>
            </w:rPr>
            <w:instrText xml:space="preserve"> HYPERLINK \l "_Toc204848731" </w:instrText>
          </w:r>
          <w:r>
            <w:rPr>
              <w:color w:val="auto"/>
            </w:rPr>
            <w:fldChar w:fldCharType="separate"/>
          </w:r>
          <w:r>
            <w:rPr>
              <w:rStyle w:val="37"/>
              <w:rFonts w:ascii="Times New Roman" w:hAnsi="Times New Roman"/>
              <w:color w:val="auto"/>
              <w:sz w:val="28"/>
              <w:szCs w:val="28"/>
            </w:rPr>
            <w:t xml:space="preserve">5.2 </w:t>
          </w:r>
          <w:r>
            <w:rPr>
              <w:rStyle w:val="37"/>
              <w:rFonts w:hint="eastAsia" w:ascii="Times New Roman"/>
              <w:color w:val="auto"/>
              <w:sz w:val="28"/>
              <w:szCs w:val="28"/>
            </w:rPr>
            <w:t>区划修编情况说明</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_Toc204848731 \h </w:instrText>
          </w:r>
          <w:r>
            <w:rPr>
              <w:rFonts w:ascii="Times New Roman" w:hAnsi="Times New Roman"/>
              <w:color w:val="auto"/>
              <w:sz w:val="28"/>
              <w:szCs w:val="28"/>
            </w:rPr>
            <w:fldChar w:fldCharType="separate"/>
          </w:r>
          <w:r>
            <w:rPr>
              <w:rFonts w:ascii="Times New Roman" w:hAnsi="Times New Roman"/>
              <w:color w:val="auto"/>
              <w:sz w:val="28"/>
              <w:szCs w:val="28"/>
            </w:rPr>
            <w:t>11</w:t>
          </w:r>
          <w:r>
            <w:rPr>
              <w:rFonts w:ascii="Times New Roman" w:hAnsi="Times New Roman"/>
              <w:color w:val="auto"/>
              <w:sz w:val="28"/>
              <w:szCs w:val="28"/>
            </w:rPr>
            <w:fldChar w:fldCharType="end"/>
          </w:r>
          <w:r>
            <w:rPr>
              <w:rFonts w:ascii="Times New Roman" w:hAnsi="Times New Roman"/>
              <w:color w:val="auto"/>
              <w:sz w:val="28"/>
              <w:szCs w:val="28"/>
            </w:rPr>
            <w:fldChar w:fldCharType="end"/>
          </w:r>
        </w:p>
        <w:p>
          <w:pPr>
            <w:pStyle w:val="26"/>
            <w:tabs>
              <w:tab w:val="right" w:leader="dot" w:pos="8296"/>
            </w:tabs>
            <w:spacing w:line="360" w:lineRule="auto"/>
            <w:ind w:left="420"/>
            <w:rPr>
              <w:rFonts w:ascii="Times New Roman" w:hAnsi="Times New Roman" w:eastAsiaTheme="minorEastAsia" w:cstheme="minorBidi"/>
              <w:color w:val="auto"/>
              <w:sz w:val="28"/>
              <w:szCs w:val="28"/>
            </w:rPr>
          </w:pPr>
          <w:r>
            <w:rPr>
              <w:color w:val="auto"/>
            </w:rPr>
            <w:fldChar w:fldCharType="begin"/>
          </w:r>
          <w:r>
            <w:rPr>
              <w:color w:val="auto"/>
            </w:rPr>
            <w:instrText xml:space="preserve"> HYPERLINK \l "_Toc204848736" </w:instrText>
          </w:r>
          <w:r>
            <w:rPr>
              <w:color w:val="auto"/>
            </w:rPr>
            <w:fldChar w:fldCharType="separate"/>
          </w:r>
          <w:r>
            <w:rPr>
              <w:rStyle w:val="37"/>
              <w:rFonts w:ascii="Times New Roman" w:hAnsi="Times New Roman"/>
              <w:color w:val="auto"/>
              <w:sz w:val="28"/>
              <w:szCs w:val="28"/>
            </w:rPr>
            <w:t xml:space="preserve">5.3 </w:t>
          </w:r>
          <w:r>
            <w:rPr>
              <w:rStyle w:val="37"/>
              <w:rFonts w:hint="eastAsia" w:ascii="Times New Roman"/>
              <w:color w:val="auto"/>
              <w:sz w:val="28"/>
              <w:szCs w:val="28"/>
            </w:rPr>
            <w:t>水质目标设定说明</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_Toc204848736 \h </w:instrText>
          </w:r>
          <w:r>
            <w:rPr>
              <w:rFonts w:ascii="Times New Roman" w:hAnsi="Times New Roman"/>
              <w:color w:val="auto"/>
              <w:sz w:val="28"/>
              <w:szCs w:val="28"/>
            </w:rPr>
            <w:fldChar w:fldCharType="separate"/>
          </w:r>
          <w:r>
            <w:rPr>
              <w:rFonts w:ascii="Times New Roman" w:hAnsi="Times New Roman"/>
              <w:color w:val="auto"/>
              <w:sz w:val="28"/>
              <w:szCs w:val="28"/>
            </w:rPr>
            <w:t>15</w:t>
          </w:r>
          <w:r>
            <w:rPr>
              <w:rFonts w:ascii="Times New Roman" w:hAnsi="Times New Roman"/>
              <w:color w:val="auto"/>
              <w:sz w:val="28"/>
              <w:szCs w:val="28"/>
            </w:rPr>
            <w:fldChar w:fldCharType="end"/>
          </w:r>
          <w:r>
            <w:rPr>
              <w:rFonts w:ascii="Times New Roman" w:hAnsi="Times New Roman"/>
              <w:color w:val="auto"/>
              <w:sz w:val="28"/>
              <w:szCs w:val="28"/>
            </w:rPr>
            <w:fldChar w:fldCharType="end"/>
          </w:r>
        </w:p>
        <w:p>
          <w:pPr>
            <w:pStyle w:val="26"/>
            <w:tabs>
              <w:tab w:val="right" w:leader="dot" w:pos="8296"/>
            </w:tabs>
            <w:spacing w:line="360" w:lineRule="auto"/>
            <w:ind w:left="420"/>
            <w:rPr>
              <w:rFonts w:ascii="Times New Roman" w:hAnsi="Times New Roman" w:eastAsiaTheme="minorEastAsia" w:cstheme="minorBidi"/>
              <w:color w:val="auto"/>
              <w:sz w:val="28"/>
              <w:szCs w:val="28"/>
            </w:rPr>
          </w:pPr>
          <w:r>
            <w:rPr>
              <w:color w:val="auto"/>
            </w:rPr>
            <w:fldChar w:fldCharType="begin"/>
          </w:r>
          <w:r>
            <w:rPr>
              <w:color w:val="auto"/>
            </w:rPr>
            <w:instrText xml:space="preserve"> HYPERLINK \l "_Toc204848737" </w:instrText>
          </w:r>
          <w:r>
            <w:rPr>
              <w:color w:val="auto"/>
            </w:rPr>
            <w:fldChar w:fldCharType="separate"/>
          </w:r>
          <w:r>
            <w:rPr>
              <w:rStyle w:val="37"/>
              <w:rFonts w:ascii="Times New Roman" w:hAnsi="Times New Roman"/>
              <w:color w:val="auto"/>
              <w:sz w:val="28"/>
              <w:szCs w:val="28"/>
            </w:rPr>
            <w:t xml:space="preserve">5.4 </w:t>
          </w:r>
          <w:r>
            <w:rPr>
              <w:rStyle w:val="37"/>
              <w:rFonts w:hint="eastAsia" w:ascii="Times New Roman"/>
              <w:color w:val="auto"/>
              <w:sz w:val="28"/>
              <w:szCs w:val="28"/>
            </w:rPr>
            <w:t>功能区的命名与编码</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_Toc204848737 \h </w:instrText>
          </w:r>
          <w:r>
            <w:rPr>
              <w:rFonts w:ascii="Times New Roman" w:hAnsi="Times New Roman"/>
              <w:color w:val="auto"/>
              <w:sz w:val="28"/>
              <w:szCs w:val="28"/>
            </w:rPr>
            <w:fldChar w:fldCharType="separate"/>
          </w:r>
          <w:r>
            <w:rPr>
              <w:rFonts w:ascii="Times New Roman" w:hAnsi="Times New Roman"/>
              <w:color w:val="auto"/>
              <w:sz w:val="28"/>
              <w:szCs w:val="28"/>
            </w:rPr>
            <w:t>15</w:t>
          </w:r>
          <w:r>
            <w:rPr>
              <w:rFonts w:ascii="Times New Roman" w:hAnsi="Times New Roman"/>
              <w:color w:val="auto"/>
              <w:sz w:val="28"/>
              <w:szCs w:val="28"/>
            </w:rPr>
            <w:fldChar w:fldCharType="end"/>
          </w:r>
          <w:r>
            <w:rPr>
              <w:rFonts w:ascii="Times New Roman" w:hAnsi="Times New Roman"/>
              <w:color w:val="auto"/>
              <w:sz w:val="28"/>
              <w:szCs w:val="28"/>
            </w:rPr>
            <w:fldChar w:fldCharType="end"/>
          </w:r>
        </w:p>
        <w:p>
          <w:pPr>
            <w:pStyle w:val="23"/>
            <w:rPr>
              <w:rFonts w:eastAsiaTheme="minorEastAsia" w:cstheme="minorBidi"/>
              <w:color w:val="auto"/>
              <w:sz w:val="28"/>
              <w:szCs w:val="28"/>
            </w:rPr>
          </w:pPr>
          <w:r>
            <w:rPr>
              <w:color w:val="auto"/>
            </w:rPr>
            <w:fldChar w:fldCharType="begin"/>
          </w:r>
          <w:r>
            <w:rPr>
              <w:color w:val="auto"/>
            </w:rPr>
            <w:instrText xml:space="preserve"> HYPERLINK \l "_Toc204848738" </w:instrText>
          </w:r>
          <w:r>
            <w:rPr>
              <w:color w:val="auto"/>
            </w:rPr>
            <w:fldChar w:fldCharType="separate"/>
          </w:r>
          <w:r>
            <w:rPr>
              <w:rStyle w:val="37"/>
              <w:rFonts w:hint="eastAsia" w:eastAsia="黑体"/>
              <w:color w:val="auto"/>
              <w:sz w:val="28"/>
              <w:szCs w:val="28"/>
            </w:rPr>
            <w:t>附表</w:t>
          </w:r>
          <w:r>
            <w:rPr>
              <w:rStyle w:val="37"/>
              <w:rFonts w:eastAsia="黑体"/>
              <w:color w:val="auto"/>
              <w:sz w:val="28"/>
              <w:szCs w:val="28"/>
            </w:rPr>
            <w:t xml:space="preserve">1 </w:t>
          </w:r>
          <w:r>
            <w:rPr>
              <w:rStyle w:val="37"/>
              <w:rFonts w:hint="eastAsia" w:eastAsia="黑体"/>
              <w:color w:val="auto"/>
              <w:sz w:val="28"/>
              <w:szCs w:val="28"/>
            </w:rPr>
            <w:t>近岸海域环境功能区修编的理由和依据</w:t>
          </w:r>
          <w:r>
            <w:rPr>
              <w:color w:val="auto"/>
              <w:sz w:val="28"/>
              <w:szCs w:val="28"/>
            </w:rPr>
            <w:tab/>
          </w:r>
          <w:r>
            <w:rPr>
              <w:color w:val="auto"/>
              <w:sz w:val="28"/>
              <w:szCs w:val="28"/>
            </w:rPr>
            <w:fldChar w:fldCharType="begin"/>
          </w:r>
          <w:r>
            <w:rPr>
              <w:color w:val="auto"/>
              <w:sz w:val="28"/>
              <w:szCs w:val="28"/>
            </w:rPr>
            <w:instrText xml:space="preserve"> PAGEREF _Toc204848738 \h </w:instrText>
          </w:r>
          <w:r>
            <w:rPr>
              <w:color w:val="auto"/>
              <w:sz w:val="28"/>
              <w:szCs w:val="28"/>
            </w:rPr>
            <w:fldChar w:fldCharType="separate"/>
          </w:r>
          <w:r>
            <w:rPr>
              <w:color w:val="auto"/>
              <w:sz w:val="28"/>
              <w:szCs w:val="28"/>
            </w:rPr>
            <w:t>22</w:t>
          </w:r>
          <w:r>
            <w:rPr>
              <w:color w:val="auto"/>
              <w:sz w:val="28"/>
              <w:szCs w:val="28"/>
            </w:rPr>
            <w:fldChar w:fldCharType="end"/>
          </w:r>
          <w:r>
            <w:rPr>
              <w:color w:val="auto"/>
              <w:sz w:val="28"/>
              <w:szCs w:val="28"/>
            </w:rPr>
            <w:fldChar w:fldCharType="end"/>
          </w:r>
        </w:p>
        <w:p>
          <w:pPr>
            <w:pStyle w:val="23"/>
            <w:rPr>
              <w:rFonts w:eastAsia="仿宋_GB2312"/>
              <w:color w:val="auto"/>
              <w:sz w:val="28"/>
              <w:szCs w:val="28"/>
            </w:rPr>
          </w:pPr>
          <w:r>
            <w:rPr>
              <w:rFonts w:eastAsia="仿宋_GB2312"/>
              <w:color w:val="auto"/>
              <w:sz w:val="28"/>
              <w:szCs w:val="28"/>
            </w:rPr>
            <w:fldChar w:fldCharType="end"/>
          </w:r>
        </w:p>
      </w:sdtContent>
    </w:sdt>
    <w:p>
      <w:pPr>
        <w:spacing w:line="360" w:lineRule="auto"/>
        <w:rPr>
          <w:rFonts w:eastAsia="仿宋"/>
          <w:bCs/>
          <w:color w:val="auto"/>
          <w:spacing w:val="-32"/>
          <w:sz w:val="44"/>
          <w:szCs w:val="44"/>
        </w:rPr>
      </w:pPr>
    </w:p>
    <w:p>
      <w:pPr>
        <w:spacing w:line="360" w:lineRule="auto"/>
        <w:jc w:val="center"/>
        <w:rPr>
          <w:rFonts w:eastAsia="仿宋"/>
          <w:bCs/>
          <w:color w:val="auto"/>
          <w:spacing w:val="-32"/>
          <w:sz w:val="44"/>
          <w:szCs w:val="44"/>
        </w:rPr>
        <w:sectPr>
          <w:pgSz w:w="11906" w:h="16838"/>
          <w:pgMar w:top="1440" w:right="1800" w:bottom="1440" w:left="1800" w:header="851" w:footer="992" w:gutter="0"/>
          <w:cols w:space="720" w:num="1"/>
          <w:docGrid w:type="lines" w:linePitch="312" w:charSpace="0"/>
        </w:sectPr>
      </w:pPr>
    </w:p>
    <w:p>
      <w:pPr>
        <w:pStyle w:val="30"/>
        <w:jc w:val="left"/>
        <w:rPr>
          <w:rFonts w:ascii="Times New Roman" w:hAnsi="Times New Roman" w:eastAsia="仿宋"/>
          <w:color w:val="auto"/>
          <w:sz w:val="36"/>
          <w:szCs w:val="36"/>
        </w:rPr>
      </w:pPr>
      <w:bookmarkStart w:id="0" w:name="_Toc359252007"/>
      <w:bookmarkStart w:id="1" w:name="_Toc467871169"/>
      <w:bookmarkStart w:id="2" w:name="_Toc204848718"/>
      <w:r>
        <w:rPr>
          <w:rFonts w:ascii="Times New Roman" w:hAnsi="Times New Roman" w:eastAsia="仿宋"/>
          <w:color w:val="auto"/>
          <w:sz w:val="36"/>
          <w:szCs w:val="36"/>
        </w:rPr>
        <w:t>1</w:t>
      </w:r>
      <w:bookmarkEnd w:id="0"/>
      <w:bookmarkEnd w:id="1"/>
      <w:r>
        <w:rPr>
          <w:rFonts w:ascii="Times New Roman" w:hAnsi="Times New Roman" w:eastAsia="仿宋"/>
          <w:color w:val="auto"/>
          <w:sz w:val="36"/>
          <w:szCs w:val="36"/>
        </w:rPr>
        <w:t xml:space="preserve"> 修编背景与必要性</w:t>
      </w:r>
      <w:bookmarkEnd w:id="2"/>
    </w:p>
    <w:p>
      <w:pPr>
        <w:pStyle w:val="55"/>
        <w:spacing w:after="240"/>
        <w:rPr>
          <w:color w:val="auto"/>
        </w:rPr>
      </w:pPr>
      <w:bookmarkStart w:id="3" w:name="_Toc204848719"/>
      <w:bookmarkStart w:id="4" w:name="_Toc359252008"/>
      <w:r>
        <w:rPr>
          <w:rFonts w:hint="eastAsia"/>
          <w:color w:val="auto"/>
        </w:rPr>
        <w:t>1</w:t>
      </w:r>
      <w:r>
        <w:rPr>
          <w:color w:val="auto"/>
        </w:rPr>
        <w:t xml:space="preserve">.1 </w:t>
      </w:r>
      <w:r>
        <w:rPr>
          <w:rFonts w:hint="eastAsia"/>
          <w:color w:val="auto"/>
        </w:rPr>
        <w:t>修编背景</w:t>
      </w:r>
      <w:bookmarkEnd w:id="3"/>
    </w:p>
    <w:p>
      <w:pPr>
        <w:ind w:firstLine="600"/>
        <w:rPr>
          <w:rFonts w:eastAsia="仿宋_GB2312"/>
          <w:color w:val="auto"/>
          <w:sz w:val="32"/>
          <w:szCs w:val="32"/>
        </w:rPr>
      </w:pPr>
      <w:r>
        <w:rPr>
          <w:rFonts w:hint="eastAsia" w:eastAsia="仿宋_GB2312"/>
          <w:color w:val="auto"/>
          <w:sz w:val="32"/>
          <w:szCs w:val="32"/>
        </w:rPr>
        <w:t>党的二十大报告指出，要发展海洋经济，保护海洋生态环境，加快建设海洋强国。天津市委、市政府高度重视海洋生态环境保护工作，始终坚持以习近平生态文明思想为指导，深入贯彻落实习近平总书记重要指示精神和党中央决策部署，以海洋生态环境质量持续改善为核心，坚持减污降碳协同增效，聚焦建设美丽海湾的主线，统筹推进污染治理、生态保护、风险防范，不断健全陆海统筹的生态环境治理制度体系，提升海洋生态环境治理能力，协同推进经济高质量发展和生态环境高水平保护，加快建设美丽天津。</w:t>
      </w:r>
    </w:p>
    <w:p>
      <w:pPr>
        <w:ind w:firstLine="600"/>
        <w:rPr>
          <w:rFonts w:eastAsia="仿宋_GB2312"/>
          <w:color w:val="auto"/>
          <w:sz w:val="32"/>
          <w:szCs w:val="32"/>
        </w:rPr>
      </w:pPr>
      <w:r>
        <w:rPr>
          <w:rFonts w:hint="eastAsia" w:eastAsia="仿宋_GB2312"/>
          <w:color w:val="auto"/>
          <w:sz w:val="32"/>
          <w:szCs w:val="32"/>
        </w:rPr>
        <w:t>近岸海域环境功能区划是海洋生态环境保护监督管理的重要基础和依据。</w:t>
      </w:r>
      <w:r>
        <w:rPr>
          <w:rFonts w:hint="eastAsia" w:eastAsia="仿宋_GB2312"/>
          <w:color w:val="auto"/>
          <w:sz w:val="32"/>
          <w:szCs w:val="32"/>
        </w:rPr>
        <w:t>《天津市近岸海域环境功能区划》（津环保水〔2013〕113号）</w:t>
      </w:r>
      <w:r>
        <w:rPr>
          <w:rFonts w:hint="eastAsia" w:eastAsia="仿宋_GB2312"/>
          <w:color w:val="auto"/>
          <w:sz w:val="32"/>
          <w:szCs w:val="32"/>
        </w:rPr>
        <w:t>（以下简称《原区划》）在保护我市近岸海域环境质量、维护海洋生态功能等方面发挥了重要作用。近年来，在“一带一路”建设、京津冀协同发展、滨海新区开发开放多维战略机遇叠加的时代背景下，我市海洋经济快速发展，近岸海域环境保护形势和海洋生产力布局发生了较大的变化。为了保护和改善我市海洋生态环境，保障沿海区域社会、经济、生态环境协调发展及海洋资源的持续利用，推进渤海综合治理和美丽海湾建设，根据《近岸海域环境功能区管理办法》，结合《中华人民共和国海洋环境保护法》《天津市国土空间总体规划（2021—2035年》《天津市海岸带及海洋空间规划（2021—2035年）》《近岸海域“三线一单”生态环境分区管控技术说明（试行）》的相关规定及我市实际情况，制定《天津市近岸海域环境功能区划（修编）》。</w:t>
      </w:r>
    </w:p>
    <w:p>
      <w:pPr>
        <w:pStyle w:val="55"/>
        <w:spacing w:after="240"/>
        <w:rPr>
          <w:color w:val="auto"/>
          <w:szCs w:val="32"/>
        </w:rPr>
      </w:pPr>
      <w:bookmarkStart w:id="5" w:name="_Toc204848720"/>
      <w:r>
        <w:rPr>
          <w:rFonts w:hint="eastAsia"/>
          <w:color w:val="auto"/>
          <w:szCs w:val="32"/>
        </w:rPr>
        <w:t>1.2 修编必要性</w:t>
      </w:r>
      <w:bookmarkEnd w:id="5"/>
    </w:p>
    <w:p>
      <w:pPr>
        <w:ind w:firstLine="600"/>
        <w:rPr>
          <w:rFonts w:eastAsia="仿宋_GB2312"/>
          <w:color w:val="auto"/>
          <w:sz w:val="32"/>
          <w:szCs w:val="32"/>
        </w:rPr>
      </w:pPr>
      <w:r>
        <w:rPr>
          <w:rFonts w:hint="eastAsia" w:eastAsia="仿宋_GB2312"/>
          <w:b/>
          <w:bCs/>
          <w:color w:val="auto"/>
          <w:sz w:val="32"/>
          <w:szCs w:val="32"/>
        </w:rPr>
        <w:t>一是推进新时期海洋生态环境保护的重要举措。</w:t>
      </w:r>
      <w:r>
        <w:rPr>
          <w:rFonts w:hint="eastAsia" w:eastAsia="仿宋_GB2312"/>
          <w:color w:val="auto"/>
          <w:sz w:val="32"/>
          <w:szCs w:val="32"/>
        </w:rPr>
        <w:t>近岸海域环境功能区划通过明确环境功能、保护目标，进而为制定具体生态环境保护措施提供依据，根本目的是确保区域环境功能保持稳定或持续改善。近年来我市近岸海域环境质量实现突破性改善，“十五五”国家对天津市下达的水质目标任务将进一步提高，因此对近岸海域环境功能区划的保护目标提出了更高的要求。为更好地适应近岸海域环境保护工作需要，准确对接新修订的海环法要求，科学实施近岸海域环境保护，有必要进行近岸海域环境功能区划修编。</w:t>
      </w:r>
    </w:p>
    <w:p>
      <w:pPr>
        <w:ind w:firstLine="600"/>
        <w:rPr>
          <w:rFonts w:eastAsia="仿宋_GB2312"/>
          <w:color w:val="auto"/>
          <w:sz w:val="32"/>
          <w:szCs w:val="32"/>
        </w:rPr>
      </w:pPr>
      <w:r>
        <w:rPr>
          <w:rFonts w:hint="eastAsia" w:eastAsia="仿宋_GB2312"/>
          <w:b/>
          <w:bCs/>
          <w:color w:val="auto"/>
          <w:sz w:val="32"/>
          <w:szCs w:val="32"/>
        </w:rPr>
        <w:t>二是适应我市海洋开发与保护新格局的内在需要。</w:t>
      </w:r>
      <w:r>
        <w:rPr>
          <w:rFonts w:hint="eastAsia" w:eastAsia="仿宋_GB2312"/>
          <w:color w:val="auto"/>
          <w:sz w:val="32"/>
          <w:szCs w:val="32"/>
        </w:rPr>
        <w:t>海域使用功能是近岸海域功能区划的重要基础。按照《近岸海域环境功能区管理办法》，《原区划》依据《天津市海洋功能区划（2011-2020年）》中的海域使用功能进行划定，已于2020年到期。2024年9月我市首部“多规合一”的《天津市国土空间规划（2021-2035年）》印发实施，明确了新的海洋空间功能布局，海洋生态保护红线和海域使用功能发生大幅度调整，近岸海域环境功能区划需衔接《天津市国土空间规划（2021-2035年）》做相应的更新。同时，我市海岸线修测最新成果于2022年获批，海岸线也发生了变化，近岸海域环境功能区划基础底图需做相应更新。因此，亟需修编近岸海域功能区划，以适应新的海洋开发与保护格局，推动海洋生态环境高水平保护与海洋经济高质量发展。</w:t>
      </w:r>
    </w:p>
    <w:p>
      <w:pPr>
        <w:ind w:firstLine="600"/>
        <w:rPr>
          <w:rFonts w:eastAsia="仿宋_GB2312"/>
          <w:b/>
          <w:bCs/>
          <w:color w:val="auto"/>
          <w:sz w:val="32"/>
          <w:szCs w:val="32"/>
        </w:rPr>
      </w:pPr>
      <w:r>
        <w:rPr>
          <w:rFonts w:hint="eastAsia" w:eastAsia="仿宋_GB2312"/>
          <w:b/>
          <w:bCs/>
          <w:color w:val="auto"/>
          <w:sz w:val="32"/>
          <w:szCs w:val="32"/>
        </w:rPr>
        <w:t>三是落实国家最新生态环境管理形势需求的必然要求。</w:t>
      </w:r>
      <w:r>
        <w:rPr>
          <w:rFonts w:hint="eastAsia" w:eastAsia="仿宋_GB2312"/>
          <w:color w:val="auto"/>
          <w:sz w:val="32"/>
          <w:szCs w:val="32"/>
        </w:rPr>
        <w:t>党中央、国务院高度重视生态环境分区管控工作。在2023年全国生态环境保护大会上，习近平总书记强调要完善全域覆盖的生态环境分区管控体系，为发展“明底线”“划边框”。2024年3月，中共中央办公厅、国务院办公厅印发《关于加强生态环境分区管控的意见》，提出要加强生态环境分区管控。2024年7月，党的二十届三中全会明确提出“实施分区域、差异化、精准管控的生态环境管理制度”。2025年生态环境部《关于印发&lt;“十五五”全国海洋生态环境保护规划&gt;总体思路框架和&lt;“十五五”海洋生态环境保护规划编制技术大纲&gt;的通知》（环办海洋函（2025）158号）提出，要构建以海湾为基础单元的海洋生态环境分区管控体系。因此探索开展以美丽海湾单元为基础、衔接生态环境分区管控的近岸海域环境功能区划，有助于更好的实施海洋生态环境管理工作，加快我市美丽海湾建设进程。</w:t>
      </w:r>
    </w:p>
    <w:p>
      <w:pPr>
        <w:pStyle w:val="30"/>
        <w:jc w:val="left"/>
        <w:rPr>
          <w:rFonts w:ascii="Times New Roman" w:hAnsi="Times New Roman" w:eastAsia="仿宋"/>
          <w:color w:val="auto"/>
          <w:sz w:val="36"/>
          <w:szCs w:val="36"/>
        </w:rPr>
      </w:pPr>
      <w:bookmarkStart w:id="6" w:name="_Toc204848721"/>
      <w:r>
        <w:rPr>
          <w:rFonts w:hint="eastAsia" w:ascii="Times New Roman" w:hAnsi="Times New Roman" w:eastAsia="仿宋"/>
          <w:color w:val="auto"/>
          <w:sz w:val="36"/>
          <w:szCs w:val="36"/>
        </w:rPr>
        <w:t>2</w:t>
      </w:r>
      <w:r>
        <w:rPr>
          <w:rFonts w:ascii="Times New Roman" w:hAnsi="Times New Roman" w:eastAsia="仿宋"/>
          <w:color w:val="auto"/>
          <w:sz w:val="36"/>
          <w:szCs w:val="36"/>
        </w:rPr>
        <w:t xml:space="preserve"> </w:t>
      </w:r>
      <w:r>
        <w:rPr>
          <w:rFonts w:hint="eastAsia" w:ascii="Times New Roman" w:hAnsi="Times New Roman" w:eastAsia="仿宋"/>
          <w:color w:val="auto"/>
          <w:sz w:val="36"/>
          <w:szCs w:val="36"/>
        </w:rPr>
        <w:t>工作过程</w:t>
      </w:r>
      <w:bookmarkEnd w:id="6"/>
    </w:p>
    <w:p>
      <w:pPr>
        <w:spacing w:line="360" w:lineRule="auto"/>
        <w:ind w:firstLine="640" w:firstLineChars="200"/>
        <w:rPr>
          <w:rFonts w:eastAsia="仿宋_GB2312"/>
          <w:color w:val="auto"/>
          <w:sz w:val="32"/>
          <w:szCs w:val="32"/>
        </w:rPr>
      </w:pPr>
      <w:r>
        <w:rPr>
          <w:rFonts w:hint="eastAsia" w:eastAsia="仿宋_GB2312"/>
          <w:color w:val="auto"/>
          <w:sz w:val="32"/>
          <w:szCs w:val="32"/>
        </w:rPr>
        <w:t>2024年9月，随着《天津市国土空间规划（2021-2035年）》正式发布、《天津市海岸带及海洋空间规划（2021-2035年）》开展征求意见，天津市生态环境局认真研究空间规划中的海域使用功能，并对部分沿海省市有关部门就近岸海域环境功能区划修订事宜进行了调研，为启动近岸海域环境功能区划编制工作奠定了良好基础。</w:t>
      </w:r>
    </w:p>
    <w:p>
      <w:pPr>
        <w:spacing w:line="360" w:lineRule="auto"/>
        <w:ind w:firstLine="640" w:firstLineChars="200"/>
        <w:rPr>
          <w:rFonts w:eastAsia="仿宋_GB2312"/>
          <w:color w:val="auto"/>
          <w:sz w:val="32"/>
          <w:szCs w:val="32"/>
        </w:rPr>
      </w:pPr>
      <w:r>
        <w:rPr>
          <w:rFonts w:hint="eastAsia" w:eastAsia="仿宋_GB2312"/>
          <w:color w:val="auto"/>
          <w:sz w:val="32"/>
          <w:szCs w:val="32"/>
        </w:rPr>
        <w:t>2025年1月，天津市生态环境局正式启动近岸海域环境功能区划修编工作，成立编制组，由市生态环境监测中心负责技术支持。编制组广泛调研了沿海省市近岸海域环境功能区划修编进程，收集功能区划、海洋空间规划、生态环境分区管控等相关文件、研究文献和基础资料等，并制定工作计划。</w:t>
      </w:r>
    </w:p>
    <w:p>
      <w:pPr>
        <w:spacing w:line="360" w:lineRule="auto"/>
        <w:ind w:firstLine="640" w:firstLineChars="200"/>
        <w:rPr>
          <w:rFonts w:eastAsia="仿宋_GB2312"/>
          <w:color w:val="auto"/>
          <w:sz w:val="32"/>
          <w:szCs w:val="32"/>
        </w:rPr>
      </w:pPr>
      <w:bookmarkStart w:id="7" w:name="_Toc359252010"/>
      <w:r>
        <w:rPr>
          <w:rFonts w:hint="eastAsia" w:eastAsia="仿宋_GB2312"/>
          <w:color w:val="auto"/>
          <w:sz w:val="32"/>
          <w:szCs w:val="32"/>
        </w:rPr>
        <w:t>2025年2月-4月，编制组全面分析了功能区划相关基础资料，并对相关资料进行梳理总结。与市规划资源局多次沟通对接，明确近岸海域具体使用功能和海域使用要求。赴滨海新区开展外业调查，与相关部门开展座谈交流，全面掌握当前近岸海域环境功能区划修编的相关信息，确定区划文本结构和主要技术内容等，编制形成功能区划修编初稿。</w:t>
      </w:r>
    </w:p>
    <w:p>
      <w:pPr>
        <w:spacing w:line="360" w:lineRule="auto"/>
        <w:ind w:firstLine="640" w:firstLineChars="200"/>
        <w:rPr>
          <w:rFonts w:eastAsia="仿宋_GB2312"/>
          <w:color w:val="auto"/>
          <w:sz w:val="32"/>
          <w:szCs w:val="32"/>
        </w:rPr>
      </w:pPr>
      <w:r>
        <w:rPr>
          <w:rFonts w:eastAsia="仿宋"/>
          <w:color w:val="auto"/>
          <w:sz w:val="32"/>
          <w:szCs w:val="32"/>
        </w:rPr>
        <w:t>2</w:t>
      </w:r>
      <w:r>
        <w:rPr>
          <w:rFonts w:hint="eastAsia" w:eastAsia="仿宋_GB2312"/>
          <w:color w:val="auto"/>
          <w:sz w:val="32"/>
          <w:szCs w:val="32"/>
        </w:rPr>
        <w:t>025年5月，组织召开多次内部研讨会</w:t>
      </w:r>
      <w:r>
        <w:rPr>
          <w:rFonts w:hint="eastAsia" w:eastAsia="仿宋_GB2312"/>
          <w:color w:val="auto"/>
          <w:sz w:val="32"/>
          <w:szCs w:val="32"/>
        </w:rPr>
        <w:t>和专家咨询会</w:t>
      </w:r>
      <w:r>
        <w:rPr>
          <w:rFonts w:hint="eastAsia" w:eastAsia="仿宋_GB2312"/>
          <w:color w:val="auto"/>
          <w:sz w:val="32"/>
          <w:szCs w:val="32"/>
        </w:rPr>
        <w:t>，就区划主要内容进行研讨。编制组根据相关单位</w:t>
      </w:r>
      <w:r>
        <w:rPr>
          <w:rFonts w:hint="eastAsia" w:eastAsia="仿宋_GB2312"/>
          <w:color w:val="auto"/>
          <w:sz w:val="32"/>
          <w:szCs w:val="32"/>
        </w:rPr>
        <w:t>专家意见</w:t>
      </w:r>
      <w:r>
        <w:rPr>
          <w:rFonts w:hint="eastAsia" w:eastAsia="仿宋_GB2312"/>
          <w:color w:val="auto"/>
          <w:sz w:val="32"/>
          <w:szCs w:val="32"/>
        </w:rPr>
        <w:t>修改完善，形成了《区划》（征求意见稿）。</w:t>
      </w:r>
    </w:p>
    <w:bookmarkEnd w:id="7"/>
    <w:p>
      <w:pPr>
        <w:spacing w:line="360" w:lineRule="auto"/>
        <w:ind w:firstLine="640" w:firstLineChars="200"/>
        <w:rPr>
          <w:rFonts w:eastAsia="仿宋_GB2312"/>
          <w:color w:val="auto"/>
          <w:sz w:val="32"/>
          <w:szCs w:val="32"/>
        </w:rPr>
      </w:pPr>
      <w:r>
        <w:rPr>
          <w:rFonts w:hint="eastAsia" w:eastAsia="仿宋_GB2312"/>
          <w:color w:val="auto"/>
          <w:sz w:val="32"/>
          <w:szCs w:val="32"/>
        </w:rPr>
        <w:t>2025年6月，天津市生态环境局将《区划》（征求意见稿）发往各部门及滨海新区征求意见和建议。在收到相关反馈意见后，编制组对区划文本、登记表和图件等进行了修改、完善，形成了《区划》（公开征求意见稿）。</w:t>
      </w:r>
    </w:p>
    <w:p>
      <w:pPr>
        <w:pStyle w:val="30"/>
        <w:jc w:val="left"/>
        <w:rPr>
          <w:rFonts w:ascii="Times New Roman" w:hAnsi="Times New Roman" w:eastAsia="仿宋"/>
          <w:color w:val="auto"/>
          <w:sz w:val="36"/>
          <w:szCs w:val="36"/>
        </w:rPr>
      </w:pPr>
      <w:bookmarkStart w:id="8" w:name="_Toc204848722"/>
      <w:bookmarkStart w:id="9" w:name="_Toc241287306"/>
      <w:bookmarkStart w:id="10" w:name="_Toc177920041"/>
      <w:r>
        <w:rPr>
          <w:rFonts w:hint="eastAsia" w:ascii="Times New Roman" w:hAnsi="Times New Roman" w:eastAsia="仿宋"/>
          <w:color w:val="auto"/>
          <w:sz w:val="36"/>
          <w:szCs w:val="36"/>
        </w:rPr>
        <w:t>3</w:t>
      </w:r>
      <w:r>
        <w:rPr>
          <w:rFonts w:ascii="Times New Roman" w:hAnsi="Times New Roman" w:eastAsia="仿宋"/>
          <w:color w:val="auto"/>
          <w:sz w:val="36"/>
          <w:szCs w:val="36"/>
        </w:rPr>
        <w:t xml:space="preserve"> 修编</w:t>
      </w:r>
      <w:r>
        <w:rPr>
          <w:rFonts w:hint="eastAsia" w:ascii="Times New Roman" w:hAnsi="Times New Roman" w:eastAsia="仿宋"/>
          <w:color w:val="auto"/>
          <w:sz w:val="36"/>
          <w:szCs w:val="36"/>
        </w:rPr>
        <w:t>的基本原则和技术路线</w:t>
      </w:r>
      <w:bookmarkEnd w:id="8"/>
    </w:p>
    <w:p>
      <w:pPr>
        <w:pStyle w:val="55"/>
        <w:spacing w:after="240"/>
        <w:rPr>
          <w:color w:val="auto"/>
        </w:rPr>
      </w:pPr>
      <w:bookmarkStart w:id="11" w:name="_Toc204848723"/>
      <w:r>
        <w:rPr>
          <w:rFonts w:hint="eastAsia"/>
          <w:color w:val="auto"/>
        </w:rPr>
        <w:t>3</w:t>
      </w:r>
      <w:r>
        <w:rPr>
          <w:color w:val="auto"/>
        </w:rPr>
        <w:t xml:space="preserve">.1 </w:t>
      </w:r>
      <w:r>
        <w:rPr>
          <w:rFonts w:hint="eastAsia"/>
          <w:color w:val="auto"/>
        </w:rPr>
        <w:t>基本原则</w:t>
      </w:r>
      <w:bookmarkEnd w:id="11"/>
    </w:p>
    <w:p>
      <w:pPr>
        <w:spacing w:line="360" w:lineRule="auto"/>
        <w:ind w:firstLine="640" w:firstLineChars="200"/>
        <w:rPr>
          <w:color w:val="auto"/>
        </w:rPr>
      </w:pPr>
      <w:r>
        <w:rPr>
          <w:rFonts w:hint="eastAsia" w:eastAsia="仿宋_GB2312"/>
          <w:color w:val="auto"/>
          <w:sz w:val="32"/>
          <w:szCs w:val="32"/>
        </w:rPr>
        <w:t>近岸海域环境功能区划修编需要遵循系统性、科学性与实践性相结合的原则，紧密衔接国土空间规划、生态环境分区管控、美丽海湾建设要求，统筹水质保护与开发利用需求，具体原则如下：</w:t>
      </w:r>
    </w:p>
    <w:p>
      <w:pPr>
        <w:spacing w:line="360" w:lineRule="auto"/>
        <w:ind w:firstLine="642" w:firstLineChars="200"/>
        <w:rPr>
          <w:rFonts w:eastAsia="仿宋_GB2312"/>
          <w:color w:val="auto"/>
          <w:sz w:val="32"/>
          <w:szCs w:val="32"/>
        </w:rPr>
      </w:pPr>
      <w:r>
        <w:rPr>
          <w:rFonts w:hint="eastAsia" w:eastAsia="仿宋_GB2312"/>
          <w:b/>
          <w:bCs/>
          <w:color w:val="auto"/>
          <w:sz w:val="32"/>
          <w:szCs w:val="32"/>
        </w:rPr>
        <w:t>坚持生态优先、绿色发展。</w:t>
      </w:r>
      <w:r>
        <w:rPr>
          <w:rFonts w:hint="eastAsia" w:eastAsia="仿宋_GB2312"/>
          <w:color w:val="auto"/>
          <w:sz w:val="32"/>
          <w:szCs w:val="32"/>
        </w:rPr>
        <w:t>践行绿水青山就是金山银山理念，以生态优先、绿色发展为引领，将海洋生态敏感区纳入优先保护范围，确保海洋生态保护红线、水产种质资源保护区、海洋自然保护区等重要生态敏感区总体功能不降低。充分考虑我市海洋经济发展相关规划，重点保障重大项目建设需求，合理确定相应水质保护目标，在守住环境质量底线基础上有力推动海洋经济绿色发展。</w:t>
      </w:r>
    </w:p>
    <w:p>
      <w:pPr>
        <w:spacing w:line="360" w:lineRule="auto"/>
        <w:ind w:firstLine="642" w:firstLineChars="200"/>
        <w:rPr>
          <w:rFonts w:eastAsia="仿宋_GB2312"/>
          <w:color w:val="auto"/>
          <w:sz w:val="32"/>
          <w:szCs w:val="32"/>
        </w:rPr>
      </w:pPr>
      <w:r>
        <w:rPr>
          <w:rFonts w:hint="eastAsia" w:eastAsia="仿宋_GB2312"/>
          <w:b/>
          <w:bCs/>
          <w:color w:val="auto"/>
          <w:sz w:val="32"/>
          <w:szCs w:val="32"/>
        </w:rPr>
        <w:t>坚持空间协同、陆海统筹。</w:t>
      </w:r>
      <w:r>
        <w:rPr>
          <w:rFonts w:hint="eastAsia" w:eastAsia="仿宋_GB2312"/>
          <w:color w:val="auto"/>
          <w:sz w:val="32"/>
          <w:szCs w:val="32"/>
        </w:rPr>
        <w:t>坚持陆地和海洋是同一个生命共同体。在空间上，以国土空间规划为基础，统筹陆域产业布局、城镇建设与海域功能定位，从“多规合一”角度出发，明确区划范围，增强区划方案在近岸海域环境管理方面的科学性、融合性和指导性。在管理上，注重陆域海域之间环境质量关联性，系统谋划，把陆域和海域视为一个互相制约的整体，统筹兼顾。</w:t>
      </w:r>
    </w:p>
    <w:p>
      <w:pPr>
        <w:spacing w:line="360" w:lineRule="auto"/>
        <w:ind w:firstLine="642" w:firstLineChars="200"/>
        <w:rPr>
          <w:rFonts w:eastAsia="仿宋"/>
          <w:color w:val="auto"/>
          <w:sz w:val="36"/>
          <w:szCs w:val="36"/>
        </w:rPr>
      </w:pPr>
      <w:r>
        <w:rPr>
          <w:rFonts w:hint="eastAsia" w:eastAsia="仿宋_GB2312"/>
          <w:b/>
          <w:bCs/>
          <w:color w:val="auto"/>
          <w:sz w:val="32"/>
          <w:szCs w:val="32"/>
        </w:rPr>
        <w:t>坚持水质目标导向、分区分类精细化管控。</w:t>
      </w:r>
      <w:r>
        <w:rPr>
          <w:rFonts w:hint="eastAsia" w:eastAsia="仿宋_GB2312"/>
          <w:color w:val="auto"/>
          <w:sz w:val="32"/>
          <w:szCs w:val="32"/>
        </w:rPr>
        <w:t>区划重点突出水质目标管理，基于近岸海域水质现状、国家下达的水质考核目标和使用功能定位，科学设定功能区水质保护目标。以各功能区单元为载体，系统集成优化空间布局、管控污染物排放、防范环境风险、提高资源能源利用效率等生态环境管控要求，实施分区分类管理，进一步提高海洋生态环境管理的系统化、精细化水平。</w:t>
      </w:r>
    </w:p>
    <w:p>
      <w:pPr>
        <w:pStyle w:val="55"/>
        <w:spacing w:after="240"/>
        <w:rPr>
          <w:color w:val="auto"/>
        </w:rPr>
      </w:pPr>
      <w:bookmarkStart w:id="12" w:name="_Toc204848724"/>
      <w:r>
        <w:rPr>
          <w:rFonts w:hint="eastAsia"/>
          <w:color w:val="auto"/>
        </w:rPr>
        <w:t>3</w:t>
      </w:r>
      <w:r>
        <w:rPr>
          <w:color w:val="auto"/>
        </w:rPr>
        <w:t xml:space="preserve">.1 </w:t>
      </w:r>
      <w:r>
        <w:rPr>
          <w:rFonts w:hint="eastAsia"/>
          <w:color w:val="auto"/>
        </w:rPr>
        <w:t>技术路线</w:t>
      </w:r>
      <w:bookmarkEnd w:id="12"/>
    </w:p>
    <w:p>
      <w:pPr>
        <w:spacing w:line="360" w:lineRule="auto"/>
        <w:ind w:firstLine="640" w:firstLineChars="200"/>
        <w:rPr>
          <w:rFonts w:eastAsia="仿宋_GB2312"/>
          <w:color w:val="auto"/>
          <w:sz w:val="32"/>
          <w:szCs w:val="32"/>
        </w:rPr>
      </w:pPr>
      <w:r>
        <w:rPr>
          <w:rFonts w:hint="eastAsia" w:eastAsia="仿宋_GB2312"/>
          <w:color w:val="auto"/>
          <w:sz w:val="32"/>
          <w:szCs w:val="32"/>
        </w:rPr>
        <w:t>区划修编的工作流程主要包括以下内容：区划修编需求调研，开展评价及分析，功能区修编与水质目标可达性分析，形成区划成果、征求意见、评审和报批。</w:t>
      </w:r>
    </w:p>
    <w:p>
      <w:pPr>
        <w:numPr>
          <w:ilvl w:val="0"/>
          <w:numId w:val="1"/>
        </w:numPr>
        <w:spacing w:line="360" w:lineRule="auto"/>
        <w:ind w:firstLine="642" w:firstLineChars="200"/>
        <w:rPr>
          <w:rFonts w:eastAsia="仿宋_GB2312"/>
          <w:color w:val="auto"/>
          <w:sz w:val="32"/>
          <w:szCs w:val="32"/>
        </w:rPr>
      </w:pPr>
      <w:r>
        <w:rPr>
          <w:rFonts w:hint="eastAsia" w:eastAsia="仿宋_GB2312"/>
          <w:b/>
          <w:bCs/>
          <w:color w:val="auto"/>
          <w:sz w:val="32"/>
          <w:szCs w:val="32"/>
        </w:rPr>
        <w:t>区划修编需求调研。</w:t>
      </w:r>
      <w:r>
        <w:rPr>
          <w:rFonts w:hint="eastAsia" w:eastAsia="仿宋_GB2312"/>
          <w:color w:val="auto"/>
          <w:sz w:val="32"/>
          <w:szCs w:val="32"/>
        </w:rPr>
        <w:t>包括开展资料调研，收集《近岸海域环境功能区管理办法》《关于加强生态环境分区管控的意见》等管理文件，《海洋环境保护法》《自然保护区条例》等法律法规，《海水水质标准》《近岸海域环境功能区划分技术规范》等标准规范和技术指南，国土空间规划、海岸带及海洋空间规划等规划成果；开展现场调研，包括了解沿海省市区划修编情况，与涉海管理部门进行座谈，开展外业调查；开展数据调研，收集社会经济状况、环境质量状况等。</w:t>
      </w:r>
    </w:p>
    <w:p>
      <w:pPr>
        <w:numPr>
          <w:ilvl w:val="0"/>
          <w:numId w:val="1"/>
        </w:numPr>
        <w:spacing w:line="360" w:lineRule="auto"/>
        <w:ind w:firstLine="642" w:firstLineChars="200"/>
        <w:rPr>
          <w:rFonts w:eastAsia="仿宋_GB2312"/>
          <w:color w:val="auto"/>
          <w:sz w:val="32"/>
          <w:szCs w:val="32"/>
        </w:rPr>
      </w:pPr>
      <w:r>
        <w:rPr>
          <w:rFonts w:hint="eastAsia" w:eastAsia="仿宋_GB2312"/>
          <w:b/>
          <w:bCs/>
          <w:color w:val="auto"/>
          <w:sz w:val="32"/>
          <w:szCs w:val="32"/>
        </w:rPr>
        <w:t>开展评价及分析。</w:t>
      </w:r>
      <w:r>
        <w:rPr>
          <w:rFonts w:hint="eastAsia" w:eastAsia="仿宋_GB2312"/>
          <w:color w:val="auto"/>
          <w:sz w:val="32"/>
          <w:szCs w:val="32"/>
        </w:rPr>
        <w:t>包括评估区划实施效果及实际应用中存在的问题，分析区划与国土空间规划的关系，梳理生态环境分区管控、美丽海湾建设的最新要求，开展入海污染源及海洋环境质量状况评价分析。</w:t>
      </w:r>
    </w:p>
    <w:p>
      <w:pPr>
        <w:numPr>
          <w:ilvl w:val="0"/>
          <w:numId w:val="1"/>
        </w:numPr>
        <w:spacing w:line="360" w:lineRule="auto"/>
        <w:ind w:firstLine="642" w:firstLineChars="200"/>
        <w:rPr>
          <w:rFonts w:eastAsia="仿宋_GB2312"/>
          <w:color w:val="auto"/>
          <w:sz w:val="32"/>
          <w:szCs w:val="32"/>
        </w:rPr>
      </w:pPr>
      <w:r>
        <w:rPr>
          <w:rFonts w:hint="eastAsia" w:eastAsia="仿宋_GB2312"/>
          <w:b/>
          <w:bCs/>
          <w:color w:val="auto"/>
          <w:sz w:val="32"/>
          <w:szCs w:val="32"/>
        </w:rPr>
        <w:t>开展功能区划修编与水质目标可达性分析。</w:t>
      </w:r>
      <w:r>
        <w:rPr>
          <w:rFonts w:hint="eastAsia" w:eastAsia="仿宋_GB2312"/>
          <w:color w:val="auto"/>
          <w:sz w:val="32"/>
          <w:szCs w:val="32"/>
        </w:rPr>
        <w:t>包括基于调研和分析结果，结合海域具体使用功能确定环境功能区单元，逐一明确环境质量目标和管控要求，并对水质目标的可达性进行分析。</w:t>
      </w:r>
    </w:p>
    <w:p>
      <w:pPr>
        <w:spacing w:line="360" w:lineRule="auto"/>
        <w:ind w:firstLine="640" w:firstLineChars="200"/>
        <w:rPr>
          <w:rFonts w:eastAsia="仿宋_GB2312"/>
          <w:color w:val="auto"/>
          <w:sz w:val="32"/>
          <w:szCs w:val="32"/>
        </w:rPr>
      </w:pPr>
      <w:r>
        <w:rPr>
          <w:rFonts w:hint="eastAsia" w:eastAsia="仿宋_GB2312"/>
          <w:color w:val="auto"/>
          <w:sz w:val="32"/>
          <w:szCs w:val="32"/>
        </w:rPr>
        <w:t>（4）</w:t>
      </w:r>
      <w:r>
        <w:rPr>
          <w:rFonts w:hint="eastAsia" w:eastAsia="仿宋_GB2312"/>
          <w:b/>
          <w:bCs/>
          <w:color w:val="auto"/>
          <w:sz w:val="32"/>
          <w:szCs w:val="32"/>
        </w:rPr>
        <w:t>形成区划成果、征求意见、评审和报批。</w:t>
      </w:r>
      <w:r>
        <w:rPr>
          <w:rFonts w:hint="eastAsia" w:eastAsia="仿宋_GB2312"/>
          <w:color w:val="auto"/>
          <w:sz w:val="32"/>
          <w:szCs w:val="32"/>
        </w:rPr>
        <w:t>主要是在前期分析、功能区划定的基础上完成文本、图件、登记表等区划成果，进行征求意见和专家评审，在修改完善后报市政府审批。</w:t>
      </w:r>
    </w:p>
    <w:p>
      <w:pPr>
        <w:spacing w:line="360" w:lineRule="auto"/>
        <w:ind w:firstLine="640" w:firstLineChars="200"/>
        <w:rPr>
          <w:rFonts w:eastAsia="仿宋_GB2312"/>
          <w:color w:val="auto"/>
          <w:sz w:val="32"/>
          <w:szCs w:val="32"/>
        </w:rPr>
      </w:pPr>
    </w:p>
    <w:p>
      <w:pPr>
        <w:pStyle w:val="14"/>
        <w:rPr>
          <w:color w:val="auto"/>
        </w:rPr>
      </w:pPr>
    </w:p>
    <w:p>
      <w:pPr>
        <w:spacing w:line="360" w:lineRule="auto"/>
        <w:jc w:val="center"/>
        <w:rPr>
          <w:rFonts w:eastAsia="仿宋"/>
          <w:color w:val="auto"/>
          <w:sz w:val="32"/>
          <w:szCs w:val="32"/>
        </w:rPr>
      </w:pPr>
    </w:p>
    <w:p>
      <w:pPr>
        <w:jc w:val="center"/>
        <w:rPr>
          <w:rFonts w:eastAsia="仿宋_GB2312"/>
          <w:color w:val="auto"/>
          <w:sz w:val="24"/>
          <w:szCs w:val="24"/>
        </w:rPr>
      </w:pPr>
      <w:r>
        <w:rPr>
          <w:color w:val="auto"/>
        </w:rPr>
        <w:drawing>
          <wp:inline distT="0" distB="0" distL="114300" distR="114300">
            <wp:extent cx="4985385" cy="7620635"/>
            <wp:effectExtent l="19050" t="0" r="5369" b="0"/>
            <wp:docPr id="4" name="图片 3"/>
            <wp:cNvGraphicFramePr/>
            <a:graphic xmlns:a="http://schemas.openxmlformats.org/drawingml/2006/main">
              <a:graphicData uri="http://schemas.openxmlformats.org/drawingml/2006/picture">
                <pic:pic xmlns:pic="http://schemas.openxmlformats.org/drawingml/2006/picture">
                  <pic:nvPicPr>
                    <pic:cNvPr id="4" name="图片 3"/>
                    <pic:cNvPicPr/>
                  </pic:nvPicPr>
                  <pic:blipFill>
                    <a:blip r:embed="rId6" cstate="print"/>
                    <a:srcRect l="18725" t="9364" r="5130" b="9348"/>
                    <a:stretch>
                      <a:fillRect/>
                    </a:stretch>
                  </pic:blipFill>
                  <pic:spPr>
                    <a:xfrm>
                      <a:off x="0" y="0"/>
                      <a:ext cx="4989811" cy="7627355"/>
                    </a:xfrm>
                    <a:prstGeom prst="rect">
                      <a:avLst/>
                    </a:prstGeom>
                  </pic:spPr>
                </pic:pic>
              </a:graphicData>
            </a:graphic>
          </wp:inline>
        </w:drawing>
      </w:r>
    </w:p>
    <w:p>
      <w:pPr>
        <w:spacing w:line="360" w:lineRule="auto"/>
        <w:ind w:firstLine="480" w:firstLineChars="200"/>
        <w:jc w:val="center"/>
        <w:rPr>
          <w:rFonts w:eastAsia="黑体"/>
          <w:color w:val="auto"/>
          <w:sz w:val="24"/>
          <w:szCs w:val="24"/>
        </w:rPr>
      </w:pPr>
      <w:r>
        <w:rPr>
          <w:rFonts w:hint="eastAsia" w:eastAsia="黑体"/>
          <w:color w:val="auto"/>
          <w:sz w:val="24"/>
          <w:szCs w:val="24"/>
        </w:rPr>
        <w:t>图1</w:t>
      </w:r>
      <w:r>
        <w:rPr>
          <w:rFonts w:eastAsia="黑体"/>
          <w:color w:val="auto"/>
          <w:sz w:val="24"/>
          <w:szCs w:val="24"/>
        </w:rPr>
        <w:t xml:space="preserve"> </w:t>
      </w:r>
      <w:r>
        <w:rPr>
          <w:rFonts w:hint="eastAsia" w:eastAsia="黑体"/>
          <w:color w:val="auto"/>
          <w:sz w:val="24"/>
          <w:szCs w:val="24"/>
        </w:rPr>
        <w:t>区划技术路线</w:t>
      </w:r>
    </w:p>
    <w:p>
      <w:pPr>
        <w:pStyle w:val="30"/>
        <w:jc w:val="left"/>
        <w:rPr>
          <w:rFonts w:ascii="Times New Roman" w:hAnsi="Times New Roman" w:eastAsia="仿宋"/>
          <w:color w:val="auto"/>
          <w:sz w:val="36"/>
          <w:szCs w:val="36"/>
        </w:rPr>
      </w:pPr>
      <w:bookmarkStart w:id="13" w:name="_Toc204848725"/>
      <w:r>
        <w:rPr>
          <w:rFonts w:hint="eastAsia" w:ascii="Times New Roman" w:hAnsi="Times New Roman" w:eastAsia="仿宋"/>
          <w:color w:val="auto"/>
          <w:sz w:val="36"/>
          <w:szCs w:val="36"/>
        </w:rPr>
        <w:t>4</w:t>
      </w:r>
      <w:r>
        <w:rPr>
          <w:rFonts w:ascii="Times New Roman" w:hAnsi="Times New Roman" w:eastAsia="仿宋"/>
          <w:color w:val="auto"/>
          <w:sz w:val="36"/>
          <w:szCs w:val="36"/>
        </w:rPr>
        <w:t xml:space="preserve"> </w:t>
      </w:r>
      <w:bookmarkEnd w:id="9"/>
      <w:r>
        <w:rPr>
          <w:rFonts w:hint="eastAsia" w:ascii="Times New Roman" w:hAnsi="Times New Roman" w:eastAsia="仿宋"/>
          <w:color w:val="auto"/>
          <w:sz w:val="36"/>
          <w:szCs w:val="36"/>
        </w:rPr>
        <w:t>现状分析</w:t>
      </w:r>
      <w:bookmarkEnd w:id="10"/>
      <w:bookmarkEnd w:id="13"/>
    </w:p>
    <w:p>
      <w:pPr>
        <w:pStyle w:val="55"/>
        <w:spacing w:after="240"/>
        <w:rPr>
          <w:color w:val="auto"/>
        </w:rPr>
      </w:pPr>
      <w:bookmarkStart w:id="14" w:name="_Toc241287307"/>
      <w:bookmarkStart w:id="15" w:name="_Toc204848726"/>
      <w:bookmarkStart w:id="16" w:name="_Toc177920042"/>
      <w:r>
        <w:rPr>
          <w:rFonts w:hint="eastAsia"/>
          <w:color w:val="auto"/>
        </w:rPr>
        <w:t>4</w:t>
      </w:r>
      <w:r>
        <w:rPr>
          <w:color w:val="auto"/>
        </w:rPr>
        <w:t xml:space="preserve">.1 </w:t>
      </w:r>
      <w:r>
        <w:rPr>
          <w:rFonts w:hint="eastAsia"/>
          <w:color w:val="auto"/>
        </w:rPr>
        <w:t>近岸海域环境质量</w:t>
      </w:r>
      <w:bookmarkEnd w:id="14"/>
      <w:r>
        <w:rPr>
          <w:rFonts w:hint="eastAsia"/>
          <w:color w:val="auto"/>
        </w:rPr>
        <w:t>现状</w:t>
      </w:r>
      <w:bookmarkEnd w:id="15"/>
      <w:bookmarkEnd w:id="16"/>
    </w:p>
    <w:p>
      <w:pPr>
        <w:spacing w:line="360" w:lineRule="auto"/>
        <w:ind w:firstLine="640" w:firstLineChars="200"/>
        <w:rPr>
          <w:rFonts w:eastAsia="仿宋_GB2312"/>
          <w:color w:val="auto"/>
          <w:sz w:val="32"/>
          <w:szCs w:val="32"/>
        </w:rPr>
      </w:pPr>
      <w:r>
        <w:rPr>
          <w:rFonts w:hint="eastAsia" w:eastAsia="仿宋_GB2312"/>
          <w:color w:val="auto"/>
          <w:sz w:val="32"/>
          <w:szCs w:val="32"/>
        </w:rPr>
        <w:t>近年来，天津市近岸海域水质总体呈波动向好趋势，2024年优良（一、二类）水质比例为72.6%，与上年相比增加了1.7个百分点。主要污染物无机氮平均浓度为0.245mg/L，较2023年上升了3.4%，达到二类水平。从各季节来看，各季节波动较大，春、夏季水质较好，秋季水质较差，</w:t>
      </w:r>
      <w:r>
        <w:rPr>
          <w:rFonts w:hint="eastAsia" w:eastAsia="仿宋_GB2312"/>
          <w:color w:val="auto"/>
          <w:sz w:val="32"/>
          <w:szCs w:val="32"/>
        </w:rPr>
        <w:t>秋季无机氮浓度严重超标。</w:t>
      </w:r>
      <w:r>
        <w:rPr>
          <w:rFonts w:hint="eastAsia" w:eastAsia="仿宋_GB2312"/>
          <w:color w:val="auto"/>
          <w:sz w:val="32"/>
          <w:szCs w:val="32"/>
        </w:rPr>
        <w:t>从空间分布上看，远海水质较好，近岸水质较差，</w:t>
      </w:r>
      <w:r>
        <w:rPr>
          <w:rFonts w:eastAsia="仿宋_GB2312"/>
          <w:color w:val="auto"/>
          <w:sz w:val="32"/>
          <w:szCs w:val="32"/>
        </w:rPr>
        <w:t>超标水质主要分布在河口周边海域</w:t>
      </w:r>
      <w:r>
        <w:rPr>
          <w:rFonts w:hint="eastAsia" w:eastAsia="仿宋_GB2312"/>
          <w:color w:val="auto"/>
          <w:sz w:val="32"/>
          <w:szCs w:val="32"/>
        </w:rPr>
        <w:t>。</w:t>
      </w:r>
    </w:p>
    <w:p>
      <w:pPr>
        <w:spacing w:line="360" w:lineRule="auto"/>
        <w:ind w:firstLine="640" w:firstLineChars="200"/>
        <w:jc w:val="center"/>
        <w:rPr>
          <w:rFonts w:eastAsia="仿宋_GB2312"/>
          <w:color w:val="auto"/>
          <w:sz w:val="32"/>
          <w:szCs w:val="32"/>
        </w:rPr>
      </w:pPr>
      <w:r>
        <w:rPr>
          <w:rFonts w:eastAsia="仿宋_GB2312"/>
          <w:color w:val="auto"/>
          <w:sz w:val="32"/>
          <w:szCs w:val="32"/>
        </w:rPr>
        <w:drawing>
          <wp:inline distT="0" distB="0" distL="0" distR="0">
            <wp:extent cx="4086225" cy="2649220"/>
            <wp:effectExtent l="19050" t="0" r="9113" b="0"/>
            <wp:docPr id="5" name="图片 1" descr="C:\Users\user\Documents\WeChat Files\wish117\FileStorage\Temp\75e9d598625d26854ee5e44361036b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user\Documents\WeChat Files\wish117\FileStorage\Temp\75e9d598625d26854ee5e44361036b0.png"/>
                    <pic:cNvPicPr>
                      <a:picLocks noChangeAspect="1" noChangeArrowheads="1"/>
                    </pic:cNvPicPr>
                  </pic:nvPicPr>
                  <pic:blipFill>
                    <a:blip r:embed="rId7" cstate="print"/>
                    <a:srcRect/>
                    <a:stretch>
                      <a:fillRect/>
                    </a:stretch>
                  </pic:blipFill>
                  <pic:spPr>
                    <a:xfrm>
                      <a:off x="0" y="0"/>
                      <a:ext cx="4086352" cy="2649399"/>
                    </a:xfrm>
                    <a:prstGeom prst="rect">
                      <a:avLst/>
                    </a:prstGeom>
                    <a:noFill/>
                    <a:ln w="9525">
                      <a:noFill/>
                      <a:miter lim="800000"/>
                      <a:headEnd/>
                      <a:tailEnd/>
                    </a:ln>
                  </pic:spPr>
                </pic:pic>
              </a:graphicData>
            </a:graphic>
          </wp:inline>
        </w:drawing>
      </w:r>
    </w:p>
    <w:p>
      <w:pPr>
        <w:spacing w:line="360" w:lineRule="auto"/>
        <w:ind w:firstLine="480" w:firstLineChars="200"/>
        <w:jc w:val="center"/>
        <w:rPr>
          <w:rFonts w:eastAsia="黑体"/>
          <w:color w:val="auto"/>
          <w:sz w:val="24"/>
          <w:szCs w:val="24"/>
        </w:rPr>
      </w:pPr>
      <w:r>
        <w:rPr>
          <w:rFonts w:eastAsia="黑体"/>
          <w:color w:val="auto"/>
          <w:sz w:val="24"/>
          <w:szCs w:val="24"/>
        </w:rPr>
        <w:t>图</w:t>
      </w:r>
      <w:r>
        <w:rPr>
          <w:rFonts w:hint="eastAsia" w:eastAsia="黑体"/>
          <w:color w:val="auto"/>
          <w:sz w:val="24"/>
          <w:szCs w:val="24"/>
        </w:rPr>
        <w:t>2</w:t>
      </w:r>
      <w:r>
        <w:rPr>
          <w:rFonts w:eastAsia="黑体"/>
          <w:color w:val="auto"/>
          <w:sz w:val="24"/>
          <w:szCs w:val="24"/>
        </w:rPr>
        <w:t xml:space="preserve"> </w:t>
      </w:r>
      <w:r>
        <w:rPr>
          <w:rFonts w:hint="eastAsia" w:eastAsia="黑体"/>
          <w:color w:val="auto"/>
          <w:sz w:val="24"/>
          <w:szCs w:val="24"/>
        </w:rPr>
        <w:t>天津2016-2024年</w:t>
      </w:r>
      <w:r>
        <w:rPr>
          <w:rFonts w:eastAsia="黑体"/>
          <w:color w:val="auto"/>
          <w:sz w:val="24"/>
          <w:szCs w:val="24"/>
        </w:rPr>
        <w:t>近岸海域</w:t>
      </w:r>
      <w:r>
        <w:rPr>
          <w:rFonts w:hint="eastAsia" w:eastAsia="黑体"/>
          <w:color w:val="auto"/>
          <w:sz w:val="24"/>
          <w:szCs w:val="24"/>
        </w:rPr>
        <w:t>优良水质比例</w:t>
      </w:r>
    </w:p>
    <w:p>
      <w:pPr>
        <w:spacing w:line="360" w:lineRule="auto"/>
        <w:ind w:firstLine="640" w:firstLineChars="200"/>
        <w:jc w:val="center"/>
        <w:rPr>
          <w:rFonts w:eastAsia="仿宋_GB2312"/>
          <w:color w:val="auto"/>
          <w:sz w:val="32"/>
          <w:szCs w:val="32"/>
        </w:rPr>
      </w:pPr>
      <w:r>
        <w:rPr>
          <w:rFonts w:eastAsia="仿宋_GB2312"/>
          <w:color w:val="auto"/>
          <w:sz w:val="32"/>
          <w:szCs w:val="32"/>
        </w:rPr>
        <w:drawing>
          <wp:inline distT="0" distB="0" distL="0" distR="0">
            <wp:extent cx="4085590" cy="2854960"/>
            <wp:effectExtent l="19050" t="0" r="0" b="0"/>
            <wp:docPr id="6" name="图片 2" descr="C:\Users\user\Documents\WeChat Files\wish117\FileStorage\Temp\e7ab7ab8e898539bb3e9b36f17e1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C:\Users\user\Documents\WeChat Files\wish117\FileStorage\Temp\e7ab7ab8e898539bb3e9b36f17e1003.png"/>
                    <pic:cNvPicPr>
                      <a:picLocks noChangeAspect="1" noChangeArrowheads="1"/>
                    </pic:cNvPicPr>
                  </pic:nvPicPr>
                  <pic:blipFill>
                    <a:blip r:embed="rId8" cstate="print"/>
                    <a:srcRect/>
                    <a:stretch>
                      <a:fillRect/>
                    </a:stretch>
                  </pic:blipFill>
                  <pic:spPr>
                    <a:xfrm>
                      <a:off x="0" y="0"/>
                      <a:ext cx="4086000" cy="2855022"/>
                    </a:xfrm>
                    <a:prstGeom prst="rect">
                      <a:avLst/>
                    </a:prstGeom>
                    <a:noFill/>
                    <a:ln w="9525">
                      <a:noFill/>
                      <a:miter lim="800000"/>
                      <a:headEnd/>
                      <a:tailEnd/>
                    </a:ln>
                  </pic:spPr>
                </pic:pic>
              </a:graphicData>
            </a:graphic>
          </wp:inline>
        </w:drawing>
      </w:r>
    </w:p>
    <w:p>
      <w:pPr>
        <w:spacing w:line="360" w:lineRule="auto"/>
        <w:ind w:firstLine="480" w:firstLineChars="200"/>
        <w:jc w:val="center"/>
        <w:rPr>
          <w:rFonts w:eastAsia="仿宋_GB2312"/>
          <w:color w:val="auto"/>
          <w:sz w:val="32"/>
          <w:szCs w:val="32"/>
        </w:rPr>
      </w:pPr>
      <w:r>
        <w:rPr>
          <w:rFonts w:eastAsia="黑体"/>
          <w:color w:val="auto"/>
          <w:sz w:val="24"/>
          <w:szCs w:val="24"/>
        </w:rPr>
        <w:t>图</w:t>
      </w:r>
      <w:r>
        <w:rPr>
          <w:rFonts w:hint="eastAsia" w:eastAsia="黑体"/>
          <w:color w:val="auto"/>
          <w:sz w:val="24"/>
          <w:szCs w:val="24"/>
        </w:rPr>
        <w:t>3</w:t>
      </w:r>
      <w:r>
        <w:rPr>
          <w:rFonts w:eastAsia="黑体"/>
          <w:color w:val="auto"/>
          <w:sz w:val="24"/>
          <w:szCs w:val="24"/>
        </w:rPr>
        <w:t xml:space="preserve"> </w:t>
      </w:r>
      <w:r>
        <w:rPr>
          <w:rFonts w:hint="eastAsia" w:eastAsia="黑体"/>
          <w:color w:val="auto"/>
          <w:sz w:val="24"/>
          <w:szCs w:val="24"/>
        </w:rPr>
        <w:t>天津2016-2024年</w:t>
      </w:r>
      <w:r>
        <w:rPr>
          <w:rFonts w:eastAsia="黑体"/>
          <w:color w:val="auto"/>
          <w:sz w:val="24"/>
          <w:szCs w:val="24"/>
        </w:rPr>
        <w:t>近岸海域</w:t>
      </w:r>
      <w:r>
        <w:rPr>
          <w:rFonts w:hint="eastAsia" w:eastAsia="黑体"/>
          <w:color w:val="auto"/>
          <w:sz w:val="24"/>
          <w:szCs w:val="24"/>
        </w:rPr>
        <w:t>各季节优良水质比例</w:t>
      </w:r>
    </w:p>
    <w:p>
      <w:pPr>
        <w:pStyle w:val="55"/>
        <w:spacing w:after="240"/>
        <w:rPr>
          <w:color w:val="auto"/>
        </w:rPr>
      </w:pPr>
      <w:bookmarkStart w:id="17" w:name="_Toc241287308"/>
      <w:bookmarkStart w:id="18" w:name="_Toc204848727"/>
      <w:bookmarkStart w:id="19" w:name="_Toc177920043"/>
      <w:r>
        <w:rPr>
          <w:rFonts w:hint="eastAsia"/>
          <w:color w:val="auto"/>
        </w:rPr>
        <w:t>4</w:t>
      </w:r>
      <w:r>
        <w:rPr>
          <w:color w:val="auto"/>
        </w:rPr>
        <w:t xml:space="preserve">.2 </w:t>
      </w:r>
      <w:r>
        <w:rPr>
          <w:rFonts w:hint="eastAsia"/>
          <w:color w:val="auto"/>
        </w:rPr>
        <w:t>入海污染源</w:t>
      </w:r>
      <w:bookmarkEnd w:id="17"/>
      <w:r>
        <w:rPr>
          <w:rFonts w:hint="eastAsia"/>
          <w:color w:val="auto"/>
        </w:rPr>
        <w:t>排放现状</w:t>
      </w:r>
      <w:bookmarkEnd w:id="18"/>
      <w:bookmarkEnd w:id="19"/>
    </w:p>
    <w:p>
      <w:pPr>
        <w:spacing w:line="360" w:lineRule="auto"/>
        <w:ind w:firstLine="640" w:firstLineChars="200"/>
        <w:rPr>
          <w:rFonts w:eastAsia="仿宋_GB2312"/>
          <w:color w:val="auto"/>
          <w:sz w:val="32"/>
          <w:szCs w:val="32"/>
        </w:rPr>
      </w:pPr>
      <w:r>
        <w:rPr>
          <w:rFonts w:hint="eastAsia" w:eastAsia="仿宋_GB2312"/>
          <w:color w:val="auto"/>
          <w:sz w:val="32"/>
          <w:szCs w:val="32"/>
        </w:rPr>
        <w:t>2024年，天津市12条入海河流稳定达标，16个直排海污染源均达标排放，9个入海排污口中，5个兼为直排海污染源的排口均达标排放，4个其它排污口中，参照《污水综合排放标准》（DB12/356-2018）二级标准评价，均达标排放。</w:t>
      </w:r>
    </w:p>
    <w:p>
      <w:pPr>
        <w:pStyle w:val="55"/>
        <w:spacing w:after="240"/>
        <w:rPr>
          <w:color w:val="auto"/>
        </w:rPr>
      </w:pPr>
      <w:bookmarkStart w:id="20" w:name="_Toc177920044"/>
      <w:bookmarkStart w:id="21" w:name="_Toc204848728"/>
      <w:r>
        <w:rPr>
          <w:rFonts w:hint="eastAsia"/>
          <w:color w:val="auto"/>
        </w:rPr>
        <w:t>4</w:t>
      </w:r>
      <w:r>
        <w:rPr>
          <w:color w:val="auto"/>
        </w:rPr>
        <w:t xml:space="preserve">.3 </w:t>
      </w:r>
      <w:bookmarkEnd w:id="20"/>
      <w:r>
        <w:rPr>
          <w:rFonts w:hint="eastAsia"/>
          <w:color w:val="auto"/>
        </w:rPr>
        <w:t>社会经济发展现状</w:t>
      </w:r>
      <w:bookmarkEnd w:id="21"/>
    </w:p>
    <w:p>
      <w:pPr>
        <w:pStyle w:val="14"/>
        <w:overflowPunct w:val="0"/>
        <w:ind w:firstLine="640" w:firstLineChars="200"/>
        <w:rPr>
          <w:rFonts w:eastAsia="仿宋_GB2312"/>
          <w:color w:val="auto"/>
          <w:szCs w:val="32"/>
        </w:rPr>
      </w:pPr>
      <w:r>
        <w:rPr>
          <w:rFonts w:eastAsia="仿宋_GB2312"/>
          <w:color w:val="auto"/>
          <w:szCs w:val="32"/>
        </w:rPr>
        <w:t>2024年，天津市海洋生产总值5659.5亿元（按现价核算），同比增长4.8%，占全市GDP的31.4%。《</w:t>
      </w:r>
      <w:r>
        <w:rPr>
          <w:rFonts w:hint="eastAsia" w:eastAsia="仿宋_GB2312"/>
          <w:color w:val="auto"/>
          <w:szCs w:val="32"/>
        </w:rPr>
        <w:t>天津市</w:t>
      </w:r>
      <w:r>
        <w:rPr>
          <w:rFonts w:eastAsia="仿宋_GB2312"/>
          <w:color w:val="auto"/>
          <w:szCs w:val="32"/>
        </w:rPr>
        <w:t>海洋经济发展“十四五”规划》提出，到2025年海洋经济高质量发展水平显著提升，海洋经济规模进一步扩大，海洋生产总值年均增长6.5%左右，占地区生产总值比重年均达到33%，对社会经济的贡献稳步提升，成为带动经济发展新的增长点。海洋产业结构和布局更趋合理，海洋科技创新能力进一步提升，海洋绿色低碳发展取得显著成效，海洋经济开放合作深度拓展，现代海洋城市建设迈上新台阶。</w:t>
      </w:r>
    </w:p>
    <w:p>
      <w:pPr>
        <w:pStyle w:val="30"/>
        <w:jc w:val="left"/>
        <w:rPr>
          <w:rFonts w:ascii="Times New Roman" w:hAnsi="Times New Roman" w:eastAsia="仿宋"/>
          <w:color w:val="auto"/>
          <w:sz w:val="36"/>
          <w:szCs w:val="36"/>
        </w:rPr>
      </w:pPr>
      <w:bookmarkStart w:id="22" w:name="_Toc204848729"/>
      <w:r>
        <w:rPr>
          <w:rFonts w:ascii="Times New Roman" w:hAnsi="Times New Roman" w:eastAsia="仿宋"/>
          <w:color w:val="auto"/>
          <w:sz w:val="36"/>
          <w:szCs w:val="36"/>
        </w:rPr>
        <w:t>5 功能区</w:t>
      </w:r>
      <w:r>
        <w:rPr>
          <w:rFonts w:hint="eastAsia" w:ascii="Times New Roman" w:hAnsi="Times New Roman" w:eastAsia="仿宋"/>
          <w:color w:val="auto"/>
          <w:sz w:val="36"/>
          <w:szCs w:val="36"/>
        </w:rPr>
        <w:t>划修编</w:t>
      </w:r>
      <w:r>
        <w:rPr>
          <w:rFonts w:ascii="Times New Roman" w:hAnsi="Times New Roman" w:eastAsia="仿宋"/>
          <w:color w:val="auto"/>
          <w:sz w:val="36"/>
          <w:szCs w:val="36"/>
        </w:rPr>
        <w:t>情况</w:t>
      </w:r>
      <w:bookmarkEnd w:id="22"/>
    </w:p>
    <w:p>
      <w:pPr>
        <w:pStyle w:val="55"/>
        <w:spacing w:after="240"/>
        <w:rPr>
          <w:color w:val="auto"/>
        </w:rPr>
      </w:pPr>
      <w:bookmarkStart w:id="23" w:name="_Toc204848730"/>
      <w:r>
        <w:rPr>
          <w:rFonts w:hint="eastAsia"/>
          <w:color w:val="auto"/>
        </w:rPr>
        <w:t>5</w:t>
      </w:r>
      <w:r>
        <w:rPr>
          <w:color w:val="auto"/>
        </w:rPr>
        <w:t xml:space="preserve">.1 </w:t>
      </w:r>
      <w:r>
        <w:rPr>
          <w:rFonts w:hint="eastAsia"/>
          <w:color w:val="auto"/>
        </w:rPr>
        <w:t>《原区划》情况</w:t>
      </w:r>
      <w:bookmarkEnd w:id="23"/>
    </w:p>
    <w:p>
      <w:pPr>
        <w:spacing w:line="360" w:lineRule="auto"/>
        <w:ind w:firstLine="640" w:firstLineChars="200"/>
        <w:rPr>
          <w:rFonts w:eastAsia="仿宋_GB2312"/>
          <w:color w:val="auto"/>
          <w:sz w:val="32"/>
          <w:szCs w:val="32"/>
        </w:rPr>
      </w:pPr>
      <w:r>
        <w:rPr>
          <w:rFonts w:hint="eastAsia" w:eastAsia="仿宋_GB2312"/>
          <w:color w:val="auto"/>
          <w:sz w:val="32"/>
          <w:szCs w:val="32"/>
        </w:rPr>
        <w:t>《原区划》于</w:t>
      </w:r>
      <w:r>
        <w:rPr>
          <w:rFonts w:hint="eastAsia" w:eastAsia="仿宋_GB2312"/>
          <w:color w:val="auto"/>
          <w:sz w:val="32"/>
          <w:szCs w:val="32"/>
        </w:rPr>
        <w:t>2013</w:t>
      </w:r>
      <w:r>
        <w:rPr>
          <w:rFonts w:hint="eastAsia" w:eastAsia="仿宋_GB2312"/>
          <w:color w:val="auto"/>
          <w:sz w:val="32"/>
          <w:szCs w:val="32"/>
        </w:rPr>
        <w:t>年经市政府批准实施，</w:t>
      </w:r>
      <w:r>
        <w:rPr>
          <w:rFonts w:hint="eastAsia" w:eastAsia="仿宋_GB2312"/>
          <w:color w:val="auto"/>
          <w:sz w:val="32"/>
          <w:szCs w:val="32"/>
        </w:rPr>
        <w:t>在2019年对滨海旅游休闲娱乐区、汉沽工业与城镇用海区等9个环境功能区进行了调整，区划的实施</w:t>
      </w:r>
      <w:r>
        <w:rPr>
          <w:rFonts w:eastAsia="仿宋_GB2312"/>
          <w:color w:val="auto"/>
          <w:sz w:val="32"/>
          <w:szCs w:val="32"/>
        </w:rPr>
        <w:t>在我</w:t>
      </w:r>
      <w:r>
        <w:rPr>
          <w:rFonts w:hint="eastAsia" w:eastAsia="仿宋_GB2312"/>
          <w:color w:val="auto"/>
          <w:sz w:val="32"/>
          <w:szCs w:val="32"/>
        </w:rPr>
        <w:t>市近岸海域</w:t>
      </w:r>
      <w:r>
        <w:rPr>
          <w:rFonts w:eastAsia="仿宋_GB2312"/>
          <w:color w:val="auto"/>
          <w:sz w:val="32"/>
          <w:szCs w:val="32"/>
        </w:rPr>
        <w:t>环境准入</w:t>
      </w:r>
      <w:r>
        <w:rPr>
          <w:rFonts w:hint="eastAsia" w:eastAsia="仿宋_GB2312"/>
          <w:color w:val="auto"/>
          <w:sz w:val="32"/>
          <w:szCs w:val="32"/>
        </w:rPr>
        <w:t>、</w:t>
      </w:r>
      <w:r>
        <w:rPr>
          <w:rFonts w:eastAsia="仿宋_GB2312"/>
          <w:color w:val="auto"/>
          <w:sz w:val="32"/>
          <w:szCs w:val="32"/>
        </w:rPr>
        <w:t>环境监测、监督管理中发挥了重要作用，是协调</w:t>
      </w:r>
      <w:r>
        <w:rPr>
          <w:rFonts w:hint="eastAsia" w:eastAsia="仿宋_GB2312"/>
          <w:color w:val="auto"/>
          <w:sz w:val="32"/>
          <w:szCs w:val="32"/>
        </w:rPr>
        <w:t>沿海区域</w:t>
      </w:r>
      <w:r>
        <w:rPr>
          <w:rFonts w:eastAsia="仿宋_GB2312"/>
          <w:color w:val="auto"/>
          <w:sz w:val="32"/>
          <w:szCs w:val="32"/>
        </w:rPr>
        <w:t>经济发展、海域开发与海洋</w:t>
      </w:r>
      <w:r>
        <w:rPr>
          <w:rFonts w:hint="eastAsia" w:eastAsia="仿宋_GB2312"/>
          <w:color w:val="auto"/>
          <w:sz w:val="32"/>
          <w:szCs w:val="32"/>
        </w:rPr>
        <w:t>生态</w:t>
      </w:r>
      <w:r>
        <w:rPr>
          <w:rFonts w:eastAsia="仿宋_GB2312"/>
          <w:color w:val="auto"/>
          <w:sz w:val="32"/>
          <w:szCs w:val="32"/>
        </w:rPr>
        <w:t>环境保护之间关系的重要抓手</w:t>
      </w:r>
      <w:r>
        <w:rPr>
          <w:rFonts w:hint="eastAsia" w:eastAsia="仿宋_GB2312"/>
          <w:color w:val="auto"/>
          <w:sz w:val="32"/>
          <w:szCs w:val="32"/>
        </w:rPr>
        <w:t>，在促进沿海经济高质量发展和生态环境高水平保护上起到了积极作用。根据《原区划》</w:t>
      </w:r>
      <w:r>
        <w:rPr>
          <w:rFonts w:hint="eastAsia" w:eastAsia="仿宋_GB2312"/>
          <w:color w:val="auto"/>
          <w:sz w:val="32"/>
          <w:szCs w:val="32"/>
        </w:rPr>
        <w:t>及其调整方案</w:t>
      </w:r>
      <w:r>
        <w:rPr>
          <w:rFonts w:hint="eastAsia" w:eastAsia="仿宋_GB2312"/>
          <w:color w:val="auto"/>
          <w:sz w:val="32"/>
          <w:szCs w:val="32"/>
        </w:rPr>
        <w:t>，天津市近岸海域划分为21个环境功能区。其中一类环境功能区2个，二类环境功能区9个，三类环境功能区7个，四类环境功能区3个。</w:t>
      </w:r>
    </w:p>
    <w:p>
      <w:pPr>
        <w:pStyle w:val="55"/>
        <w:spacing w:after="240"/>
        <w:rPr>
          <w:color w:val="auto"/>
        </w:rPr>
      </w:pPr>
      <w:bookmarkStart w:id="24" w:name="_Toc204848731"/>
      <w:r>
        <w:rPr>
          <w:rFonts w:hint="eastAsia"/>
          <w:color w:val="auto"/>
        </w:rPr>
        <w:t>5</w:t>
      </w:r>
      <w:r>
        <w:rPr>
          <w:color w:val="auto"/>
        </w:rPr>
        <w:t xml:space="preserve">.2 </w:t>
      </w:r>
      <w:r>
        <w:rPr>
          <w:rFonts w:hint="eastAsia"/>
          <w:color w:val="auto"/>
        </w:rPr>
        <w:t>区划修编情况说明</w:t>
      </w:r>
      <w:bookmarkEnd w:id="24"/>
    </w:p>
    <w:p>
      <w:pPr>
        <w:spacing w:line="360" w:lineRule="auto"/>
        <w:ind w:firstLine="640" w:firstLineChars="200"/>
        <w:rPr>
          <w:rFonts w:eastAsia="仿宋_GB2312"/>
          <w:color w:val="auto"/>
          <w:sz w:val="32"/>
          <w:szCs w:val="32"/>
        </w:rPr>
      </w:pPr>
      <w:r>
        <w:rPr>
          <w:rFonts w:hint="eastAsia" w:eastAsia="仿宋_GB2312"/>
          <w:color w:val="auto"/>
          <w:sz w:val="32"/>
          <w:szCs w:val="32"/>
        </w:rPr>
        <w:t>与《原区划》方案相比，修编后的近岸海域环境功能区划外边界至领海外部界限，向陆一侧根据2022年批准海岸线更新了区划内边界，区划总面积为1875平方千米（占天津市管理海域面积100%）。功能区个数由21个增加到39个。主要作了4方面修改和创新，使之更加符合我市近岸海域生态环境保护和海洋经济发展实际。</w:t>
      </w:r>
    </w:p>
    <w:p>
      <w:pPr>
        <w:pStyle w:val="55"/>
        <w:spacing w:after="240"/>
        <w:outlineLvl w:val="2"/>
        <w:rPr>
          <w:rFonts w:eastAsia="仿宋_GB2312" w:cs="Times New Roman"/>
          <w:color w:val="auto"/>
          <w:szCs w:val="32"/>
        </w:rPr>
      </w:pPr>
      <w:bookmarkStart w:id="25" w:name="_Toc204693540"/>
      <w:bookmarkStart w:id="26" w:name="_Toc204848732"/>
      <w:r>
        <w:rPr>
          <w:rFonts w:hint="eastAsia" w:eastAsia="仿宋_GB2312" w:cs="Times New Roman"/>
          <w:color w:val="auto"/>
          <w:szCs w:val="32"/>
        </w:rPr>
        <w:t>5.2.1 与空间规划的衔接</w:t>
      </w:r>
      <w:bookmarkEnd w:id="25"/>
      <w:bookmarkEnd w:id="26"/>
    </w:p>
    <w:p>
      <w:pPr>
        <w:spacing w:line="360" w:lineRule="auto"/>
        <w:ind w:firstLine="640" w:firstLineChars="200"/>
        <w:rPr>
          <w:rFonts w:eastAsia="仿宋_GB2312"/>
          <w:color w:val="auto"/>
          <w:sz w:val="32"/>
          <w:szCs w:val="32"/>
        </w:rPr>
      </w:pPr>
      <w:r>
        <w:rPr>
          <w:rFonts w:hint="eastAsia" w:eastAsia="仿宋_GB2312"/>
          <w:color w:val="auto"/>
          <w:sz w:val="32"/>
          <w:szCs w:val="32"/>
        </w:rPr>
        <w:t>2024年9月25日《天津市国土空间总体规划（2021—2035年）》印发实施，这是我市第一部“多规合一”、全域全要素的国土空间总体规划，是天津市空间发展的指南、可持续发展的空间蓝图，是各类保护修复和开发建设活动的法定依据。国土空间规划中明确了新的海洋空间功能布局，是实施海洋开发活动、海洋产业布局和生态环境保护的重要依据。在此基础上，《天津市海岸带及海洋空间规划（2021—2035年）》进一步明确了各用海功能的使用要求。因此，区划修编要与空间规划进行科学合理的衔接。</w:t>
      </w:r>
    </w:p>
    <w:p>
      <w:pPr>
        <w:spacing w:line="360" w:lineRule="auto"/>
        <w:ind w:firstLine="640" w:firstLineChars="200"/>
        <w:rPr>
          <w:rFonts w:eastAsia="仿宋_GB2312"/>
          <w:color w:val="auto"/>
          <w:sz w:val="32"/>
          <w:szCs w:val="32"/>
        </w:rPr>
      </w:pPr>
      <w:r>
        <w:rPr>
          <w:rFonts w:hint="eastAsia" w:eastAsia="仿宋_GB2312"/>
          <w:color w:val="auto"/>
          <w:sz w:val="32"/>
          <w:szCs w:val="32"/>
        </w:rPr>
        <w:t>本区划分析了《天津市国土空间总体规划（2021—2035年）》和《天津市海岸带及海洋空间规划（2021—2035年）》中39个用海功能区用海活动可能产生的环境影响，在此基础上按照《近岸海域环境功能区管理办法》和《海洋功能区划技术导则》（GB/T 17108-2006），将各用海功能区与近岸海域环境功能区划中的功能区类型进行了一一对应（具体见表5.2-1）。</w:t>
      </w:r>
    </w:p>
    <w:p>
      <w:pPr>
        <w:pStyle w:val="55"/>
        <w:spacing w:after="240"/>
        <w:outlineLvl w:val="2"/>
        <w:rPr>
          <w:rFonts w:eastAsia="仿宋_GB2312" w:cs="Times New Roman"/>
          <w:color w:val="auto"/>
        </w:rPr>
      </w:pPr>
      <w:bookmarkStart w:id="27" w:name="_Toc204848733"/>
      <w:bookmarkStart w:id="28" w:name="_Toc204693541"/>
      <w:bookmarkStart w:id="29" w:name="_Toc179965670"/>
      <w:r>
        <w:rPr>
          <w:rFonts w:hint="eastAsia" w:eastAsia="仿宋_GB2312" w:cs="Times New Roman"/>
          <w:color w:val="auto"/>
        </w:rPr>
        <w:t>5.2.2 与生态环境分区管控成果的衔接</w:t>
      </w:r>
      <w:bookmarkEnd w:id="27"/>
      <w:bookmarkEnd w:id="28"/>
      <w:bookmarkEnd w:id="29"/>
    </w:p>
    <w:p>
      <w:pPr>
        <w:spacing w:line="360" w:lineRule="auto"/>
        <w:ind w:firstLine="640" w:firstLineChars="200"/>
        <w:rPr>
          <w:rFonts w:eastAsia="仿宋_GB2312"/>
          <w:color w:val="auto"/>
          <w:sz w:val="32"/>
          <w:szCs w:val="32"/>
        </w:rPr>
      </w:pPr>
      <w:r>
        <w:rPr>
          <w:rFonts w:hint="eastAsia" w:eastAsia="仿宋_GB2312"/>
          <w:color w:val="auto"/>
          <w:sz w:val="32"/>
          <w:szCs w:val="32"/>
        </w:rPr>
        <w:t>生态环境分区管控是以保障生态功能和改善环境质量为目标，实施分区域差异化精准管控的环境管理制度，是提升生态环境治理现代化水平的重要举措。实施生态环境分区管控，严守生态保护红线、环境质量底线、资源利用上线，科学指导各类开发保护建设活动，对于推动高质量发展，建设人与自然和谐共生的现代化具有重要意义。因此，区划修编要与生态环境分区管控进行科学合理的衔接。</w:t>
      </w:r>
    </w:p>
    <w:p>
      <w:pPr>
        <w:spacing w:line="360" w:lineRule="auto"/>
        <w:ind w:firstLine="640" w:firstLineChars="200"/>
        <w:rPr>
          <w:rFonts w:eastAsia="仿宋_GB2312"/>
          <w:color w:val="auto"/>
          <w:sz w:val="32"/>
          <w:szCs w:val="32"/>
        </w:rPr>
      </w:pPr>
      <w:r>
        <w:rPr>
          <w:rFonts w:hint="eastAsia" w:eastAsia="仿宋_GB2312"/>
          <w:color w:val="auto"/>
          <w:sz w:val="32"/>
          <w:szCs w:val="32"/>
        </w:rPr>
        <w:t>本区划分析了《天津市生态环境分区管控成果动态更新情况说明》（2023年12月），深入学习了《中共中央办公厅国务院办公厅关于加强生态环境分区管控的意见》《生态环境部贯彻落实〈关于加强生态环境分区管控的意见〉实施方案》《生态环境分区管控技术指南 总纲（征求意见稿）》及《近岸海域“三线一单”生态环境分区管控技术说明（试行）》，将各用海功能区与生态环境分区管控中的管控类型进行了一一对应（具体见表5.2-2）。</w:t>
      </w:r>
    </w:p>
    <w:p>
      <w:pPr>
        <w:pStyle w:val="55"/>
        <w:spacing w:after="240"/>
        <w:outlineLvl w:val="2"/>
        <w:rPr>
          <w:rFonts w:eastAsia="仿宋_GB2312" w:cs="Times New Roman"/>
          <w:color w:val="auto"/>
        </w:rPr>
      </w:pPr>
      <w:bookmarkStart w:id="30" w:name="_Toc179965671"/>
      <w:bookmarkStart w:id="31" w:name="_Toc204848734"/>
      <w:bookmarkStart w:id="32" w:name="_Toc204693542"/>
      <w:r>
        <w:rPr>
          <w:rFonts w:hint="eastAsia" w:eastAsia="仿宋_GB2312" w:cs="Times New Roman"/>
          <w:color w:val="auto"/>
        </w:rPr>
        <w:t>5.2.3 与美丽海湾建设要求的衔接</w:t>
      </w:r>
      <w:bookmarkEnd w:id="30"/>
      <w:bookmarkEnd w:id="31"/>
      <w:bookmarkEnd w:id="32"/>
    </w:p>
    <w:p>
      <w:pPr>
        <w:spacing w:line="360" w:lineRule="auto"/>
        <w:ind w:firstLine="640" w:firstLineChars="200"/>
        <w:rPr>
          <w:rFonts w:eastAsia="仿宋_GB2312"/>
          <w:color w:val="auto"/>
          <w:sz w:val="32"/>
          <w:szCs w:val="32"/>
        </w:rPr>
      </w:pPr>
      <w:r>
        <w:rPr>
          <w:rFonts w:hint="eastAsia" w:eastAsia="仿宋_GB2312"/>
          <w:color w:val="auto"/>
          <w:sz w:val="32"/>
          <w:szCs w:val="32"/>
        </w:rPr>
        <w:t>美丽海湾是美丽中国在海洋生态环境领域的集中体现和重要载体，建设美丽海湾是海洋生态环境保护的重要抓手，也是加快建设海洋强国的必然要求和重点任务。《关于全面推进美丽中国建设的意见》明确要求到2027年美丽海湾建成率达到40%左右，到2035年美丽海湾基本建成。《美丽海湾建设提升行动方案》进一步明确，到2027年重点推进110余个美丽海湾建设。《关于印发&lt;“十五五”全国海洋生态环境保护规划&gt;总体思路框架和&lt;“十五五”海洋生态环境保护规划编制技术大纲&gt;的通知》（环办海洋函（2025）158号）提出要构建以海湾为基础单元的海洋生态环境分区管控体系，将美丽海湾建设单元与近岸海域环境功能区划、生态环境管控分区、国土空间规划等进行充分衔接，在海湾单元基础上进一步明确海洋优先保护区、海洋重点管控区和海洋一般管控区等分区管控单元，建立分级分类分区的精细化海洋生态环境分区管控体系，为分解管控目标、落实差异化治理对策和管控措施、开展分区评价等提供实施载体。海湾是推动海洋生态环境持续改善的关键区域，因此区划修编要与美丽海湾建设进行科学合理的衔接。本区划结合天津市海湾单元，将各用海功能区与我市美丽海湾建设单元进行了一一对应（具体见表5.2-3）。</w:t>
      </w:r>
    </w:p>
    <w:p>
      <w:pPr>
        <w:pStyle w:val="55"/>
        <w:spacing w:after="240"/>
        <w:outlineLvl w:val="2"/>
        <w:rPr>
          <w:rFonts w:eastAsia="仿宋_GB2312" w:cs="Times New Roman"/>
          <w:color w:val="auto"/>
        </w:rPr>
      </w:pPr>
      <w:bookmarkStart w:id="33" w:name="_Toc204848735"/>
      <w:bookmarkStart w:id="34" w:name="_Toc204693543"/>
      <w:r>
        <w:rPr>
          <w:rFonts w:hint="eastAsia" w:eastAsia="仿宋_GB2312" w:cs="Times New Roman"/>
          <w:color w:val="auto"/>
        </w:rPr>
        <w:t>5.2.4 与近岸海域水质现状的衔接</w:t>
      </w:r>
      <w:bookmarkEnd w:id="33"/>
      <w:bookmarkEnd w:id="34"/>
    </w:p>
    <w:p>
      <w:pPr>
        <w:spacing w:line="360" w:lineRule="auto"/>
        <w:ind w:firstLine="640" w:firstLineChars="200"/>
        <w:rPr>
          <w:rFonts w:eastAsia="仿宋"/>
          <w:color w:val="auto"/>
          <w:sz w:val="32"/>
          <w:szCs w:val="32"/>
        </w:rPr>
      </w:pPr>
      <w:r>
        <w:rPr>
          <w:rFonts w:hint="eastAsia" w:eastAsia="仿宋_GB2312"/>
          <w:color w:val="auto"/>
          <w:sz w:val="32"/>
          <w:szCs w:val="32"/>
        </w:rPr>
        <w:t>近岸海域环境功能区划是将海域划分为不同功能区，其核心目标是通过科学划定用途边界与水质标准，实现海洋生态保护与资源合理利用的平衡。水质现状作为海域环境本底条件的直接反映，是区划科学性与可操作性的重要基础。本区划分析了39个用海功能区近四年的近岸海域水质状况，严格按照不低于现状水质的要求确定各用海功能区水质目标。</w:t>
      </w:r>
    </w:p>
    <w:p>
      <w:pPr>
        <w:pStyle w:val="55"/>
        <w:spacing w:after="240"/>
        <w:rPr>
          <w:color w:val="auto"/>
        </w:rPr>
      </w:pPr>
      <w:bookmarkStart w:id="35" w:name="_Toc204848736"/>
      <w:bookmarkStart w:id="36" w:name="_Toc204693544"/>
      <w:r>
        <w:rPr>
          <w:color w:val="auto"/>
        </w:rPr>
        <w:t>5.3</w:t>
      </w:r>
      <w:r>
        <w:rPr>
          <w:rFonts w:hint="eastAsia"/>
          <w:color w:val="auto"/>
        </w:rPr>
        <w:t xml:space="preserve"> 水质目标设定说明</w:t>
      </w:r>
      <w:bookmarkEnd w:id="35"/>
      <w:bookmarkEnd w:id="36"/>
    </w:p>
    <w:p>
      <w:pPr>
        <w:spacing w:line="360" w:lineRule="auto"/>
        <w:ind w:firstLine="640" w:firstLineChars="200"/>
        <w:rPr>
          <w:rFonts w:eastAsia="仿宋_GB2312"/>
          <w:color w:val="auto"/>
          <w:sz w:val="32"/>
          <w:szCs w:val="32"/>
        </w:rPr>
      </w:pPr>
      <w:r>
        <w:rPr>
          <w:rFonts w:hint="eastAsia" w:eastAsia="仿宋_GB2312"/>
          <w:color w:val="auto"/>
          <w:sz w:val="32"/>
          <w:szCs w:val="32"/>
        </w:rPr>
        <w:t>修编后的39个功能区划中，水质目标为一类的功能区有5个，面积约266.89平方公里，占区划海域的14.24%；水质目标为二类的功能区有23个，面积约1138.46平方公里，占区划海域的60.76%；水质目标为三类的功能区有7个，面积约464.26平方公里，占区划海域的24.78%；水质目标为四类的功能区有1个，面积约2.63平方公里，占区划海域的0.14%；有3个功能区不使用近岸海域水环境，所以不设定水质目标，面积约1.56平方公里，占区划海域的0.08%。</w:t>
      </w:r>
      <w:r>
        <w:rPr>
          <w:rFonts w:hint="eastAsia" w:eastAsia="仿宋_GB2312"/>
          <w:color w:val="auto"/>
          <w:sz w:val="32"/>
          <w:szCs w:val="32"/>
        </w:rPr>
        <w:t>“十四五”国家下达的近岸海域水质目标任务为72%，“十五五”水质目标任务将进一步提高，环境功能区的总体水质目标与保障我市“十五五”近岸海域水质考核目标相衔接。</w:t>
      </w:r>
    </w:p>
    <w:p>
      <w:pPr>
        <w:pStyle w:val="55"/>
        <w:spacing w:after="240"/>
        <w:rPr>
          <w:color w:val="auto"/>
        </w:rPr>
      </w:pPr>
      <w:bookmarkStart w:id="37" w:name="_Toc204848737"/>
      <w:r>
        <w:rPr>
          <w:color w:val="auto"/>
        </w:rPr>
        <w:t>5.</w:t>
      </w:r>
      <w:r>
        <w:rPr>
          <w:rFonts w:hint="eastAsia"/>
          <w:color w:val="auto"/>
        </w:rPr>
        <w:t>4 功能区的命名与编码</w:t>
      </w:r>
      <w:bookmarkEnd w:id="37"/>
    </w:p>
    <w:p>
      <w:pPr>
        <w:ind w:firstLine="600"/>
        <w:rPr>
          <w:rFonts w:eastAsia="仿宋_GB2312"/>
          <w:color w:val="auto"/>
          <w:sz w:val="32"/>
          <w:szCs w:val="32"/>
        </w:rPr>
      </w:pPr>
      <w:r>
        <w:rPr>
          <w:rFonts w:hint="eastAsia" w:eastAsia="仿宋_GB2312"/>
          <w:color w:val="auto"/>
          <w:sz w:val="32"/>
          <w:szCs w:val="32"/>
        </w:rPr>
        <w:t>根据《近岸海域环境功能区划分技术规范》（HJ/T82-2001）规定，近岸海域环境功能区的命名统一规定为按海域所在地名和其环境功能名称命名。近岸海域环境功能区的统一代码由四部分组成：省名（2个大写拼音字母），省内编号（3个阿拉伯数字），功能区类别（1个大写英文字母）和水质目标（1个罗马数字）。如“TJ001</w:t>
      </w:r>
      <w:r>
        <w:rPr>
          <w:rFonts w:eastAsia="仿宋_GB2312"/>
          <w:color w:val="auto"/>
          <w:sz w:val="32"/>
          <w:szCs w:val="32"/>
        </w:rPr>
        <w:t>C</w:t>
      </w:r>
      <w:r>
        <w:rPr>
          <w:rFonts w:hint="eastAsia" w:eastAsia="仿宋"/>
          <w:color w:val="auto"/>
          <w:sz w:val="32"/>
          <w:szCs w:val="32"/>
        </w:rPr>
        <w:t>Ⅲ</w:t>
      </w:r>
      <w:r>
        <w:rPr>
          <w:rFonts w:hint="eastAsia" w:eastAsia="仿宋_GB2312"/>
          <w:color w:val="auto"/>
          <w:sz w:val="32"/>
          <w:szCs w:val="32"/>
        </w:rPr>
        <w:t>”，“TJ”表示该环境功能区位于天津市，“001”表示天津第001号环境功能区，“</w:t>
      </w:r>
      <w:r>
        <w:rPr>
          <w:rFonts w:eastAsia="仿宋_GB2312"/>
          <w:color w:val="auto"/>
          <w:sz w:val="32"/>
          <w:szCs w:val="32"/>
        </w:rPr>
        <w:t>C</w:t>
      </w:r>
      <w:r>
        <w:rPr>
          <w:rFonts w:hint="eastAsia" w:eastAsia="仿宋_GB2312"/>
          <w:color w:val="auto"/>
          <w:sz w:val="32"/>
          <w:szCs w:val="32"/>
        </w:rPr>
        <w:t>”表示三类环境功能区，“</w:t>
      </w:r>
      <w:r>
        <w:rPr>
          <w:rFonts w:hint="eastAsia" w:eastAsia="仿宋"/>
          <w:color w:val="auto"/>
          <w:sz w:val="32"/>
          <w:szCs w:val="32"/>
        </w:rPr>
        <w:t>Ⅲ</w:t>
      </w:r>
      <w:r>
        <w:rPr>
          <w:rFonts w:hint="eastAsia" w:eastAsia="仿宋_GB2312"/>
          <w:color w:val="auto"/>
          <w:sz w:val="32"/>
          <w:szCs w:val="32"/>
        </w:rPr>
        <w:t>”表示水质保护目标为《海水水质标准》（GB3097-1997）第三类。</w:t>
      </w:r>
    </w:p>
    <w:p>
      <w:pPr>
        <w:spacing w:line="360" w:lineRule="auto"/>
        <w:rPr>
          <w:rFonts w:eastAsia="仿宋"/>
          <w:color w:val="auto"/>
          <w:sz w:val="30"/>
          <w:szCs w:val="30"/>
        </w:rPr>
        <w:sectPr>
          <w:footerReference r:id="rId3" w:type="default"/>
          <w:pgSz w:w="11906" w:h="16838"/>
          <w:pgMar w:top="1440" w:right="1800" w:bottom="1440" w:left="1800" w:header="851" w:footer="992" w:gutter="0"/>
          <w:pgNumType w:start="1"/>
          <w:cols w:space="720" w:num="1"/>
          <w:docGrid w:type="lines" w:linePitch="312" w:charSpace="0"/>
        </w:sectPr>
      </w:pPr>
    </w:p>
    <w:p>
      <w:pPr>
        <w:spacing w:afterLines="50" w:line="360" w:lineRule="auto"/>
        <w:jc w:val="center"/>
        <w:rPr>
          <w:rFonts w:eastAsia="黑体"/>
          <w:color w:val="auto"/>
          <w:sz w:val="30"/>
          <w:szCs w:val="30"/>
        </w:rPr>
      </w:pPr>
      <w:r>
        <w:rPr>
          <w:rFonts w:hint="eastAsia" w:eastAsia="黑体"/>
          <w:color w:val="auto"/>
          <w:sz w:val="30"/>
          <w:szCs w:val="30"/>
        </w:rPr>
        <w:t>表5.2-1 近岸海域环境功能区与国土空间规划功能区之间的对应表</w:t>
      </w:r>
    </w:p>
    <w:tbl>
      <w:tblPr>
        <w:tblStyle w:val="31"/>
        <w:tblW w:w="5177" w:type="pct"/>
        <w:tblInd w:w="0" w:type="dxa"/>
        <w:tblLayout w:type="autofit"/>
        <w:tblCellMar>
          <w:top w:w="0" w:type="dxa"/>
          <w:left w:w="0" w:type="dxa"/>
          <w:bottom w:w="0" w:type="dxa"/>
          <w:right w:w="0" w:type="dxa"/>
        </w:tblCellMar>
      </w:tblPr>
      <w:tblGrid>
        <w:gridCol w:w="738"/>
        <w:gridCol w:w="1476"/>
        <w:gridCol w:w="1546"/>
        <w:gridCol w:w="4164"/>
        <w:gridCol w:w="1645"/>
        <w:gridCol w:w="4961"/>
      </w:tblGrid>
      <w:tr>
        <w:tblPrEx>
          <w:tblCellMar>
            <w:top w:w="0" w:type="dxa"/>
            <w:left w:w="0" w:type="dxa"/>
            <w:bottom w:w="0" w:type="dxa"/>
            <w:right w:w="0" w:type="dxa"/>
          </w:tblCellMar>
        </w:tblPrEx>
        <w:trPr>
          <w:trHeight w:val="655" w:hRule="exact"/>
        </w:trPr>
        <w:tc>
          <w:tcPr>
            <w:tcW w:w="254"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color w:val="auto"/>
                <w:sz w:val="24"/>
                <w:szCs w:val="24"/>
              </w:rPr>
              <w:t>序号</w:t>
            </w:r>
          </w:p>
        </w:tc>
        <w:tc>
          <w:tcPr>
            <w:tcW w:w="508"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一级分区</w:t>
            </w:r>
          </w:p>
        </w:tc>
        <w:tc>
          <w:tcPr>
            <w:tcW w:w="532"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二级分区</w:t>
            </w:r>
          </w:p>
        </w:tc>
        <w:tc>
          <w:tcPr>
            <w:tcW w:w="1433"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4"/>
                <w:szCs w:val="24"/>
              </w:rPr>
            </w:pPr>
            <w:r>
              <w:rPr>
                <w:color w:val="auto"/>
                <w:sz w:val="24"/>
                <w:szCs w:val="24"/>
              </w:rPr>
              <w:t>功能区名称</w:t>
            </w:r>
          </w:p>
        </w:tc>
        <w:tc>
          <w:tcPr>
            <w:tcW w:w="566"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4"/>
                <w:szCs w:val="24"/>
              </w:rPr>
            </w:pPr>
            <w:r>
              <w:rPr>
                <w:rFonts w:hint="eastAsia"/>
                <w:color w:val="auto"/>
                <w:sz w:val="24"/>
                <w:szCs w:val="24"/>
              </w:rPr>
              <w:t>近岸海域环境功能区类型</w:t>
            </w:r>
          </w:p>
        </w:tc>
        <w:tc>
          <w:tcPr>
            <w:tcW w:w="1707" w:type="pct"/>
            <w:tcBorders>
              <w:top w:val="single" w:color="000000" w:sz="2" w:space="0"/>
              <w:left w:val="single" w:color="000000" w:sz="2" w:space="0"/>
              <w:bottom w:val="single" w:color="000000" w:sz="2" w:space="0"/>
              <w:right w:val="single" w:color="000000" w:sz="2" w:space="0"/>
            </w:tcBorders>
            <w:vAlign w:val="center"/>
          </w:tcPr>
          <w:p>
            <w:pPr>
              <w:jc w:val="center"/>
              <w:rPr>
                <w:color w:val="auto"/>
                <w:sz w:val="24"/>
                <w:szCs w:val="24"/>
              </w:rPr>
            </w:pPr>
            <w:r>
              <w:rPr>
                <w:rFonts w:hint="eastAsia"/>
                <w:color w:val="auto"/>
                <w:sz w:val="24"/>
                <w:szCs w:val="24"/>
              </w:rPr>
              <w:t>备注</w:t>
            </w:r>
          </w:p>
        </w:tc>
      </w:tr>
      <w:tr>
        <w:tblPrEx>
          <w:tblCellMar>
            <w:top w:w="0" w:type="dxa"/>
            <w:left w:w="0" w:type="dxa"/>
            <w:bottom w:w="0" w:type="dxa"/>
            <w:right w:w="0" w:type="dxa"/>
          </w:tblCellMar>
        </w:tblPrEx>
        <w:trPr>
          <w:trHeight w:val="397" w:hRule="exact"/>
        </w:trPr>
        <w:tc>
          <w:tcPr>
            <w:tcW w:w="254" w:type="pct"/>
            <w:tcBorders>
              <w:top w:val="single" w:color="000000" w:sz="2" w:space="0"/>
              <w:left w:val="single" w:color="000000" w:sz="2" w:space="0"/>
              <w:bottom w:val="single" w:color="auto" w:sz="4" w:space="0"/>
              <w:right w:val="single" w:color="000000" w:sz="2" w:space="0"/>
            </w:tcBorders>
            <w:shd w:val="clear" w:color="auto" w:fill="auto"/>
            <w:tcMar>
              <w:left w:w="72" w:type="dxa"/>
              <w:right w:w="72" w:type="dxa"/>
            </w:tcMar>
            <w:vAlign w:val="center"/>
          </w:tcPr>
          <w:p>
            <w:pPr>
              <w:jc w:val="center"/>
              <w:rPr>
                <w:color w:val="auto"/>
                <w:sz w:val="24"/>
                <w:szCs w:val="24"/>
              </w:rPr>
            </w:pPr>
            <w:r>
              <w:rPr>
                <w:color w:val="auto"/>
                <w:sz w:val="24"/>
                <w:szCs w:val="24"/>
              </w:rPr>
              <w:t>1</w:t>
            </w:r>
          </w:p>
        </w:tc>
        <w:tc>
          <w:tcPr>
            <w:tcW w:w="508" w:type="pct"/>
            <w:vMerge w:val="restart"/>
            <w:tcBorders>
              <w:top w:val="single" w:color="000000" w:sz="2" w:space="0"/>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生态保护区</w:t>
            </w:r>
          </w:p>
        </w:tc>
        <w:tc>
          <w:tcPr>
            <w:tcW w:w="532" w:type="pct"/>
            <w:vMerge w:val="restart"/>
            <w:tcBorders>
              <w:top w:val="single" w:color="000000" w:sz="2" w:space="0"/>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w:t>
            </w:r>
          </w:p>
        </w:tc>
        <w:tc>
          <w:tcPr>
            <w:tcW w:w="1433"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color w:val="auto"/>
                <w:sz w:val="24"/>
                <w:szCs w:val="24"/>
              </w:rPr>
              <w:t>天津滨海国家海洋公园生态保护区</w:t>
            </w:r>
          </w:p>
        </w:tc>
        <w:tc>
          <w:tcPr>
            <w:tcW w:w="566"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一类区</w:t>
            </w:r>
          </w:p>
        </w:tc>
        <w:tc>
          <w:tcPr>
            <w:tcW w:w="1707" w:type="pct"/>
            <w:vMerge w:val="restar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海洋自然保护区、海洋渔业水域为一类区</w:t>
            </w:r>
          </w:p>
        </w:tc>
      </w:tr>
      <w:tr>
        <w:tblPrEx>
          <w:tblCellMar>
            <w:top w:w="0" w:type="dxa"/>
            <w:left w:w="0" w:type="dxa"/>
            <w:bottom w:w="0" w:type="dxa"/>
            <w:right w:w="0" w:type="dxa"/>
          </w:tblCellMar>
        </w:tblPrEx>
        <w:trPr>
          <w:trHeight w:val="397" w:hRule="exact"/>
        </w:trPr>
        <w:tc>
          <w:tcPr>
            <w:tcW w:w="254" w:type="pct"/>
            <w:tcBorders>
              <w:top w:val="single" w:color="000000" w:sz="2" w:space="0"/>
              <w:left w:val="single" w:color="000000" w:sz="2" w:space="0"/>
              <w:bottom w:val="single" w:color="auto" w:sz="4" w:space="0"/>
              <w:right w:val="single" w:color="000000" w:sz="2" w:space="0"/>
            </w:tcBorders>
            <w:shd w:val="clear" w:color="auto" w:fill="auto"/>
            <w:tcMar>
              <w:left w:w="72" w:type="dxa"/>
              <w:right w:w="72" w:type="dxa"/>
            </w:tcMar>
            <w:vAlign w:val="center"/>
          </w:tcPr>
          <w:p>
            <w:pPr>
              <w:jc w:val="center"/>
              <w:rPr>
                <w:color w:val="auto"/>
                <w:sz w:val="24"/>
                <w:szCs w:val="24"/>
              </w:rPr>
            </w:pPr>
            <w:r>
              <w:rPr>
                <w:color w:val="auto"/>
                <w:sz w:val="24"/>
                <w:szCs w:val="24"/>
              </w:rPr>
              <w:t>2</w:t>
            </w:r>
          </w:p>
        </w:tc>
        <w:tc>
          <w:tcPr>
            <w:tcW w:w="508"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532"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1433"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color w:val="auto"/>
                <w:sz w:val="24"/>
                <w:szCs w:val="24"/>
              </w:rPr>
              <w:t>汉沽重要渔业海域生态保护区</w:t>
            </w:r>
          </w:p>
        </w:tc>
        <w:tc>
          <w:tcPr>
            <w:tcW w:w="566"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一类区</w:t>
            </w:r>
          </w:p>
        </w:tc>
        <w:tc>
          <w:tcPr>
            <w:tcW w:w="1707" w:type="pct"/>
            <w:vMerge w:val="continue"/>
            <w:tcBorders>
              <w:left w:val="single" w:color="000000" w:sz="2" w:space="0"/>
              <w:bottom w:val="single" w:color="auto" w:sz="4" w:space="0"/>
              <w:right w:val="single" w:color="000000" w:sz="2" w:space="0"/>
            </w:tcBorders>
            <w:vAlign w:val="center"/>
          </w:tcPr>
          <w:p>
            <w:pPr>
              <w:jc w:val="center"/>
              <w:rPr>
                <w:color w:val="auto"/>
                <w:sz w:val="24"/>
                <w:szCs w:val="24"/>
              </w:rPr>
            </w:pPr>
          </w:p>
        </w:tc>
      </w:tr>
      <w:tr>
        <w:tblPrEx>
          <w:tblCellMar>
            <w:top w:w="0" w:type="dxa"/>
            <w:left w:w="0" w:type="dxa"/>
            <w:bottom w:w="0" w:type="dxa"/>
            <w:right w:w="0" w:type="dxa"/>
          </w:tblCellMar>
        </w:tblPrEx>
        <w:trPr>
          <w:trHeight w:val="638" w:hRule="exact"/>
        </w:trPr>
        <w:tc>
          <w:tcPr>
            <w:tcW w:w="254" w:type="pct"/>
            <w:tcBorders>
              <w:top w:val="single" w:color="000000" w:sz="2" w:space="0"/>
              <w:left w:val="single" w:color="000000" w:sz="2" w:space="0"/>
              <w:bottom w:val="single" w:color="auto" w:sz="4" w:space="0"/>
              <w:right w:val="single" w:color="000000" w:sz="2" w:space="0"/>
            </w:tcBorders>
            <w:shd w:val="clear" w:color="auto" w:fill="auto"/>
            <w:tcMar>
              <w:left w:w="72" w:type="dxa"/>
              <w:right w:w="72" w:type="dxa"/>
            </w:tcMar>
            <w:vAlign w:val="center"/>
          </w:tcPr>
          <w:p>
            <w:pPr>
              <w:jc w:val="center"/>
              <w:rPr>
                <w:color w:val="auto"/>
                <w:sz w:val="24"/>
                <w:szCs w:val="24"/>
              </w:rPr>
            </w:pPr>
            <w:r>
              <w:rPr>
                <w:color w:val="auto"/>
                <w:sz w:val="24"/>
                <w:szCs w:val="24"/>
              </w:rPr>
              <w:t>3</w:t>
            </w:r>
          </w:p>
        </w:tc>
        <w:tc>
          <w:tcPr>
            <w:tcW w:w="508"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532"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1433"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color w:val="auto"/>
                <w:sz w:val="24"/>
                <w:szCs w:val="24"/>
              </w:rPr>
              <w:t>天津古海岸与湿地国家级自然保护区生态保护区</w:t>
            </w:r>
          </w:p>
        </w:tc>
        <w:tc>
          <w:tcPr>
            <w:tcW w:w="566"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一类区</w:t>
            </w:r>
          </w:p>
        </w:tc>
        <w:tc>
          <w:tcPr>
            <w:tcW w:w="1707" w:type="pct"/>
            <w:vMerge w:val="continue"/>
            <w:tcBorders>
              <w:left w:val="single" w:color="000000" w:sz="2" w:space="0"/>
              <w:bottom w:val="single" w:color="auto" w:sz="4" w:space="0"/>
              <w:right w:val="single" w:color="000000" w:sz="2" w:space="0"/>
            </w:tcBorders>
            <w:vAlign w:val="center"/>
          </w:tcPr>
          <w:p>
            <w:pPr>
              <w:jc w:val="center"/>
              <w:rPr>
                <w:color w:val="auto"/>
                <w:sz w:val="24"/>
                <w:szCs w:val="24"/>
              </w:rPr>
            </w:pPr>
          </w:p>
        </w:tc>
      </w:tr>
      <w:tr>
        <w:tblPrEx>
          <w:tblCellMar>
            <w:top w:w="0" w:type="dxa"/>
            <w:left w:w="0" w:type="dxa"/>
            <w:bottom w:w="0" w:type="dxa"/>
            <w:right w:w="0" w:type="dxa"/>
          </w:tblCellMar>
        </w:tblPrEx>
        <w:trPr>
          <w:trHeight w:val="397" w:hRule="exact"/>
        </w:trPr>
        <w:tc>
          <w:tcPr>
            <w:tcW w:w="254" w:type="pct"/>
            <w:tcBorders>
              <w:top w:val="single" w:color="000000" w:sz="2" w:space="0"/>
              <w:left w:val="single" w:color="000000" w:sz="2" w:space="0"/>
              <w:bottom w:val="single" w:color="auto" w:sz="4"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4</w:t>
            </w:r>
          </w:p>
        </w:tc>
        <w:tc>
          <w:tcPr>
            <w:tcW w:w="508"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532"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1433"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color w:val="auto"/>
                <w:sz w:val="24"/>
                <w:szCs w:val="24"/>
              </w:rPr>
              <w:t>天津</w:t>
            </w:r>
            <w:r>
              <w:rPr>
                <w:rFonts w:hint="eastAsia"/>
                <w:color w:val="auto"/>
                <w:sz w:val="24"/>
                <w:szCs w:val="24"/>
              </w:rPr>
              <w:t>北大港湿地自然保护区生态保护区</w:t>
            </w:r>
          </w:p>
        </w:tc>
        <w:tc>
          <w:tcPr>
            <w:tcW w:w="566"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一类区</w:t>
            </w:r>
          </w:p>
        </w:tc>
        <w:tc>
          <w:tcPr>
            <w:tcW w:w="1707" w:type="pct"/>
            <w:vMerge w:val="continue"/>
            <w:tcBorders>
              <w:left w:val="single" w:color="000000" w:sz="2" w:space="0"/>
              <w:bottom w:val="single" w:color="auto" w:sz="4" w:space="0"/>
              <w:right w:val="single" w:color="000000" w:sz="2" w:space="0"/>
            </w:tcBorders>
            <w:vAlign w:val="center"/>
          </w:tcPr>
          <w:p>
            <w:pPr>
              <w:jc w:val="center"/>
              <w:rPr>
                <w:color w:val="auto"/>
                <w:sz w:val="24"/>
                <w:szCs w:val="24"/>
              </w:rPr>
            </w:pPr>
          </w:p>
        </w:tc>
      </w:tr>
      <w:tr>
        <w:tblPrEx>
          <w:tblCellMar>
            <w:top w:w="0" w:type="dxa"/>
            <w:left w:w="0" w:type="dxa"/>
            <w:bottom w:w="0" w:type="dxa"/>
            <w:right w:w="0" w:type="dxa"/>
          </w:tblCellMar>
        </w:tblPrEx>
        <w:trPr>
          <w:trHeight w:val="397" w:hRule="exact"/>
        </w:trPr>
        <w:tc>
          <w:tcPr>
            <w:tcW w:w="254" w:type="pct"/>
            <w:tcBorders>
              <w:top w:val="single" w:color="000000" w:sz="2" w:space="0"/>
              <w:left w:val="single" w:color="000000" w:sz="2" w:space="0"/>
              <w:bottom w:val="single" w:color="auto" w:sz="4"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5</w:t>
            </w:r>
          </w:p>
        </w:tc>
        <w:tc>
          <w:tcPr>
            <w:tcW w:w="508"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532"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1433"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大港滨海湿地生态保护区</w:t>
            </w:r>
          </w:p>
        </w:tc>
        <w:tc>
          <w:tcPr>
            <w:tcW w:w="566"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一类区</w:t>
            </w:r>
          </w:p>
        </w:tc>
        <w:tc>
          <w:tcPr>
            <w:tcW w:w="1707" w:type="pct"/>
            <w:tcBorders>
              <w:top w:val="single" w:color="auto" w:sz="4"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湿地生境显著，是生态保护红线区域，为一类区</w:t>
            </w:r>
          </w:p>
          <w:p>
            <w:pPr>
              <w:jc w:val="center"/>
              <w:rPr>
                <w:color w:val="auto"/>
                <w:sz w:val="24"/>
                <w:szCs w:val="24"/>
              </w:rPr>
            </w:pPr>
          </w:p>
        </w:tc>
      </w:tr>
      <w:tr>
        <w:tblPrEx>
          <w:tblCellMar>
            <w:top w:w="0" w:type="dxa"/>
            <w:left w:w="0" w:type="dxa"/>
            <w:bottom w:w="0" w:type="dxa"/>
            <w:right w:w="0" w:type="dxa"/>
          </w:tblCellMar>
        </w:tblPrEx>
        <w:trPr>
          <w:trHeight w:val="397" w:hRule="exact"/>
        </w:trPr>
        <w:tc>
          <w:tcPr>
            <w:tcW w:w="254" w:type="pct"/>
            <w:tcBorders>
              <w:top w:val="single" w:color="000000" w:sz="2" w:space="0"/>
              <w:left w:val="single" w:color="000000" w:sz="2" w:space="0"/>
              <w:bottom w:val="single" w:color="auto" w:sz="4"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6</w:t>
            </w:r>
          </w:p>
        </w:tc>
        <w:tc>
          <w:tcPr>
            <w:tcW w:w="508" w:type="pct"/>
            <w:vMerge w:val="continue"/>
            <w:tcBorders>
              <w:left w:val="single" w:color="000000" w:sz="2" w:space="0"/>
              <w:bottom w:val="single" w:color="auto" w:sz="4"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532" w:type="pct"/>
            <w:vMerge w:val="continue"/>
            <w:tcBorders>
              <w:left w:val="single" w:color="000000" w:sz="2" w:space="0"/>
              <w:bottom w:val="single" w:color="auto" w:sz="4"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1433"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color w:val="auto"/>
                <w:sz w:val="24"/>
                <w:szCs w:val="24"/>
              </w:rPr>
              <w:t>北塘旅游休闲娱乐区生态保护区</w:t>
            </w:r>
          </w:p>
        </w:tc>
        <w:tc>
          <w:tcPr>
            <w:tcW w:w="566"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三类区</w:t>
            </w:r>
          </w:p>
        </w:tc>
        <w:tc>
          <w:tcPr>
            <w:tcW w:w="1707"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海滨风景旅游区为三类区</w:t>
            </w:r>
          </w:p>
        </w:tc>
      </w:tr>
      <w:tr>
        <w:tblPrEx>
          <w:tblCellMar>
            <w:top w:w="0" w:type="dxa"/>
            <w:left w:w="0" w:type="dxa"/>
            <w:bottom w:w="0" w:type="dxa"/>
            <w:right w:w="0" w:type="dxa"/>
          </w:tblCellMar>
        </w:tblPrEx>
        <w:trPr>
          <w:trHeight w:val="746" w:hRule="exact"/>
        </w:trPr>
        <w:tc>
          <w:tcPr>
            <w:tcW w:w="254" w:type="pct"/>
            <w:tcBorders>
              <w:top w:val="single" w:color="000000" w:sz="2" w:space="0"/>
              <w:left w:val="single" w:color="000000" w:sz="2" w:space="0"/>
              <w:bottom w:val="single" w:color="auto" w:sz="4"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7</w:t>
            </w:r>
          </w:p>
        </w:tc>
        <w:tc>
          <w:tcPr>
            <w:tcW w:w="508" w:type="pct"/>
            <w:vMerge w:val="restart"/>
            <w:tcBorders>
              <w:top w:val="single" w:color="000000" w:sz="2" w:space="0"/>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生态控制区</w:t>
            </w:r>
          </w:p>
        </w:tc>
        <w:tc>
          <w:tcPr>
            <w:tcW w:w="532" w:type="pct"/>
            <w:vMerge w:val="restart"/>
            <w:tcBorders>
              <w:top w:val="single" w:color="000000" w:sz="2" w:space="0"/>
              <w:left w:val="single" w:color="000000" w:sz="2" w:space="0"/>
              <w:right w:val="single" w:color="000000" w:sz="2" w:space="0"/>
            </w:tcBorders>
            <w:shd w:val="clear" w:color="auto" w:fill="auto"/>
            <w:tcMar>
              <w:left w:w="72" w:type="dxa"/>
              <w:right w:w="72" w:type="dxa"/>
            </w:tcMar>
            <w:vAlign w:val="center"/>
          </w:tcPr>
          <w:p>
            <w:pPr>
              <w:pStyle w:val="29"/>
              <w:jc w:val="center"/>
              <w:rPr>
                <w:rFonts w:ascii="Times New Roman"/>
                <w:color w:val="auto"/>
              </w:rPr>
            </w:pPr>
            <w:r>
              <w:rPr>
                <w:rFonts w:hint="eastAsia" w:ascii="Times New Roman"/>
                <w:color w:val="auto"/>
              </w:rPr>
              <w:t>/</w:t>
            </w:r>
          </w:p>
        </w:tc>
        <w:tc>
          <w:tcPr>
            <w:tcW w:w="1433" w:type="pct"/>
            <w:tcBorders>
              <w:top w:val="single" w:color="000000" w:sz="2" w:space="0"/>
              <w:left w:val="single" w:color="000000" w:sz="2" w:space="0"/>
              <w:bottom w:val="single" w:color="auto" w:sz="4" w:space="0"/>
              <w:right w:val="single" w:color="000000" w:sz="2" w:space="0"/>
            </w:tcBorders>
            <w:vAlign w:val="center"/>
          </w:tcPr>
          <w:p>
            <w:pPr>
              <w:pStyle w:val="29"/>
              <w:jc w:val="center"/>
              <w:rPr>
                <w:rFonts w:ascii="Times New Roman"/>
                <w:color w:val="auto"/>
              </w:rPr>
            </w:pPr>
            <w:r>
              <w:rPr>
                <w:rFonts w:hint="eastAsia" w:ascii="Times New Roman"/>
                <w:color w:val="auto"/>
              </w:rPr>
              <w:t>汉沽生态控制区</w:t>
            </w:r>
          </w:p>
        </w:tc>
        <w:tc>
          <w:tcPr>
            <w:tcW w:w="566"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二类区</w:t>
            </w:r>
          </w:p>
        </w:tc>
        <w:tc>
          <w:tcPr>
            <w:tcW w:w="1707" w:type="pct"/>
            <w:vMerge w:val="restart"/>
            <w:tcBorders>
              <w:top w:val="single" w:color="000000" w:sz="2" w:space="0"/>
              <w:left w:val="single" w:color="000000" w:sz="2" w:space="0"/>
              <w:right w:val="single" w:color="000000" w:sz="2" w:space="0"/>
            </w:tcBorders>
            <w:vAlign w:val="center"/>
          </w:tcPr>
          <w:p>
            <w:pPr>
              <w:jc w:val="center"/>
              <w:rPr>
                <w:color w:val="auto"/>
                <w:sz w:val="24"/>
                <w:szCs w:val="24"/>
              </w:rPr>
            </w:pPr>
            <w:r>
              <w:rPr>
                <w:rFonts w:hint="eastAsia"/>
                <w:color w:val="auto"/>
                <w:sz w:val="24"/>
                <w:szCs w:val="24"/>
              </w:rPr>
              <w:t>需予以保留原貌、强化生态保育和生态建设、限制开发建设的海洋自然区域，因此划为二类区</w:t>
            </w:r>
          </w:p>
        </w:tc>
      </w:tr>
      <w:tr>
        <w:tblPrEx>
          <w:tblCellMar>
            <w:top w:w="0" w:type="dxa"/>
            <w:left w:w="0" w:type="dxa"/>
            <w:bottom w:w="0" w:type="dxa"/>
            <w:right w:w="0" w:type="dxa"/>
          </w:tblCellMar>
        </w:tblPrEx>
        <w:trPr>
          <w:trHeight w:val="397" w:hRule="exact"/>
        </w:trPr>
        <w:tc>
          <w:tcPr>
            <w:tcW w:w="254" w:type="pct"/>
            <w:tcBorders>
              <w:top w:val="single" w:color="000000" w:sz="2" w:space="0"/>
              <w:left w:val="single" w:color="000000" w:sz="2" w:space="0"/>
              <w:bottom w:val="single" w:color="auto" w:sz="4"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8</w:t>
            </w:r>
          </w:p>
        </w:tc>
        <w:tc>
          <w:tcPr>
            <w:tcW w:w="508"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532" w:type="pct"/>
            <w:vMerge w:val="continue"/>
            <w:tcBorders>
              <w:left w:val="single" w:color="000000" w:sz="2" w:space="0"/>
              <w:right w:val="single" w:color="000000" w:sz="2" w:space="0"/>
            </w:tcBorders>
            <w:shd w:val="clear" w:color="auto" w:fill="auto"/>
            <w:tcMar>
              <w:left w:w="72" w:type="dxa"/>
              <w:right w:w="72" w:type="dxa"/>
            </w:tcMar>
            <w:vAlign w:val="center"/>
          </w:tcPr>
          <w:p>
            <w:pPr>
              <w:pStyle w:val="29"/>
              <w:jc w:val="center"/>
              <w:rPr>
                <w:rFonts w:ascii="Times New Roman"/>
                <w:color w:val="auto"/>
              </w:rPr>
            </w:pPr>
          </w:p>
        </w:tc>
        <w:tc>
          <w:tcPr>
            <w:tcW w:w="1433" w:type="pct"/>
            <w:tcBorders>
              <w:top w:val="single" w:color="000000" w:sz="2" w:space="0"/>
              <w:left w:val="single" w:color="000000" w:sz="2" w:space="0"/>
              <w:bottom w:val="single" w:color="auto" w:sz="4" w:space="0"/>
              <w:right w:val="single" w:color="000000" w:sz="2" w:space="0"/>
            </w:tcBorders>
            <w:vAlign w:val="center"/>
          </w:tcPr>
          <w:p>
            <w:pPr>
              <w:pStyle w:val="29"/>
              <w:jc w:val="center"/>
              <w:rPr>
                <w:rFonts w:ascii="Times New Roman"/>
                <w:color w:val="auto"/>
              </w:rPr>
            </w:pPr>
            <w:r>
              <w:rPr>
                <w:rFonts w:hint="eastAsia" w:ascii="Times New Roman"/>
                <w:color w:val="auto"/>
              </w:rPr>
              <w:t>贝壳堤生态控制区</w:t>
            </w:r>
          </w:p>
        </w:tc>
        <w:tc>
          <w:tcPr>
            <w:tcW w:w="566"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二类区</w:t>
            </w:r>
          </w:p>
        </w:tc>
        <w:tc>
          <w:tcPr>
            <w:tcW w:w="1707" w:type="pct"/>
            <w:vMerge w:val="continue"/>
            <w:tcBorders>
              <w:left w:val="single" w:color="000000" w:sz="2" w:space="0"/>
              <w:right w:val="single" w:color="000000" w:sz="2" w:space="0"/>
            </w:tcBorders>
            <w:vAlign w:val="center"/>
          </w:tcPr>
          <w:p>
            <w:pPr>
              <w:jc w:val="center"/>
              <w:rPr>
                <w:color w:val="auto"/>
                <w:sz w:val="24"/>
                <w:szCs w:val="24"/>
              </w:rPr>
            </w:pPr>
          </w:p>
        </w:tc>
      </w:tr>
      <w:tr>
        <w:tblPrEx>
          <w:tblCellMar>
            <w:top w:w="0" w:type="dxa"/>
            <w:left w:w="0" w:type="dxa"/>
            <w:bottom w:w="0" w:type="dxa"/>
            <w:right w:w="0" w:type="dxa"/>
          </w:tblCellMar>
        </w:tblPrEx>
        <w:trPr>
          <w:trHeight w:val="397" w:hRule="exact"/>
        </w:trPr>
        <w:tc>
          <w:tcPr>
            <w:tcW w:w="254" w:type="pct"/>
            <w:tcBorders>
              <w:top w:val="single" w:color="000000" w:sz="2" w:space="0"/>
              <w:left w:val="single" w:color="000000" w:sz="2" w:space="0"/>
              <w:bottom w:val="single" w:color="auto" w:sz="4"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9</w:t>
            </w:r>
          </w:p>
        </w:tc>
        <w:tc>
          <w:tcPr>
            <w:tcW w:w="508"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532" w:type="pct"/>
            <w:vMerge w:val="continue"/>
            <w:tcBorders>
              <w:left w:val="single" w:color="000000" w:sz="2" w:space="0"/>
              <w:right w:val="single" w:color="000000" w:sz="2" w:space="0"/>
            </w:tcBorders>
            <w:shd w:val="clear" w:color="auto" w:fill="auto"/>
            <w:tcMar>
              <w:left w:w="72" w:type="dxa"/>
              <w:right w:w="72" w:type="dxa"/>
            </w:tcMar>
            <w:vAlign w:val="center"/>
          </w:tcPr>
          <w:p>
            <w:pPr>
              <w:pStyle w:val="29"/>
              <w:jc w:val="center"/>
              <w:rPr>
                <w:rFonts w:ascii="Times New Roman"/>
                <w:color w:val="auto"/>
              </w:rPr>
            </w:pPr>
          </w:p>
        </w:tc>
        <w:tc>
          <w:tcPr>
            <w:tcW w:w="1433" w:type="pct"/>
            <w:tcBorders>
              <w:top w:val="single" w:color="000000" w:sz="2" w:space="0"/>
              <w:left w:val="single" w:color="000000" w:sz="2" w:space="0"/>
              <w:bottom w:val="single" w:color="auto" w:sz="4" w:space="0"/>
              <w:right w:val="single" w:color="000000" w:sz="2" w:space="0"/>
            </w:tcBorders>
            <w:vAlign w:val="center"/>
          </w:tcPr>
          <w:p>
            <w:pPr>
              <w:pStyle w:val="29"/>
              <w:jc w:val="center"/>
              <w:rPr>
                <w:rFonts w:ascii="Times New Roman"/>
                <w:color w:val="auto"/>
              </w:rPr>
            </w:pPr>
            <w:r>
              <w:rPr>
                <w:rFonts w:hint="eastAsia" w:ascii="Times New Roman"/>
                <w:color w:val="auto"/>
              </w:rPr>
              <w:t>临海新城生态控制区</w:t>
            </w:r>
          </w:p>
        </w:tc>
        <w:tc>
          <w:tcPr>
            <w:tcW w:w="566"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二类区</w:t>
            </w:r>
          </w:p>
        </w:tc>
        <w:tc>
          <w:tcPr>
            <w:tcW w:w="1707" w:type="pct"/>
            <w:vMerge w:val="continue"/>
            <w:tcBorders>
              <w:left w:val="single" w:color="000000" w:sz="2" w:space="0"/>
              <w:right w:val="single" w:color="000000" w:sz="2" w:space="0"/>
            </w:tcBorders>
            <w:vAlign w:val="center"/>
          </w:tcPr>
          <w:p>
            <w:pPr>
              <w:jc w:val="center"/>
              <w:rPr>
                <w:color w:val="auto"/>
                <w:sz w:val="24"/>
                <w:szCs w:val="24"/>
              </w:rPr>
            </w:pPr>
          </w:p>
        </w:tc>
      </w:tr>
      <w:tr>
        <w:tblPrEx>
          <w:tblCellMar>
            <w:top w:w="0" w:type="dxa"/>
            <w:left w:w="0" w:type="dxa"/>
            <w:bottom w:w="0" w:type="dxa"/>
            <w:right w:w="0" w:type="dxa"/>
          </w:tblCellMar>
        </w:tblPrEx>
        <w:trPr>
          <w:trHeight w:val="397" w:hRule="exact"/>
        </w:trPr>
        <w:tc>
          <w:tcPr>
            <w:tcW w:w="254" w:type="pct"/>
            <w:tcBorders>
              <w:top w:val="single" w:color="000000" w:sz="2" w:space="0"/>
              <w:left w:val="single" w:color="000000" w:sz="2" w:space="0"/>
              <w:bottom w:val="single" w:color="auto" w:sz="4"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10</w:t>
            </w:r>
          </w:p>
        </w:tc>
        <w:tc>
          <w:tcPr>
            <w:tcW w:w="508"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532" w:type="pct"/>
            <w:vMerge w:val="continue"/>
            <w:tcBorders>
              <w:left w:val="single" w:color="000000" w:sz="2" w:space="0"/>
              <w:right w:val="single" w:color="000000" w:sz="2" w:space="0"/>
            </w:tcBorders>
            <w:shd w:val="clear" w:color="auto" w:fill="auto"/>
            <w:tcMar>
              <w:left w:w="72" w:type="dxa"/>
              <w:right w:w="72" w:type="dxa"/>
            </w:tcMar>
            <w:vAlign w:val="center"/>
          </w:tcPr>
          <w:p>
            <w:pPr>
              <w:pStyle w:val="29"/>
              <w:jc w:val="center"/>
              <w:rPr>
                <w:rFonts w:ascii="Times New Roman"/>
                <w:color w:val="auto"/>
              </w:rPr>
            </w:pPr>
          </w:p>
        </w:tc>
        <w:tc>
          <w:tcPr>
            <w:tcW w:w="1433" w:type="pct"/>
            <w:tcBorders>
              <w:top w:val="single" w:color="000000" w:sz="2" w:space="0"/>
              <w:left w:val="single" w:color="000000" w:sz="2" w:space="0"/>
              <w:bottom w:val="single" w:color="auto" w:sz="4" w:space="0"/>
              <w:right w:val="single" w:color="000000" w:sz="2" w:space="0"/>
            </w:tcBorders>
            <w:vAlign w:val="center"/>
          </w:tcPr>
          <w:p>
            <w:pPr>
              <w:pStyle w:val="29"/>
              <w:jc w:val="center"/>
              <w:rPr>
                <w:rFonts w:ascii="Times New Roman"/>
                <w:color w:val="auto"/>
              </w:rPr>
            </w:pPr>
            <w:r>
              <w:rPr>
                <w:rFonts w:hint="eastAsia" w:ascii="Times New Roman"/>
                <w:color w:val="auto"/>
              </w:rPr>
              <w:t>高沙岭生态控制区</w:t>
            </w:r>
          </w:p>
        </w:tc>
        <w:tc>
          <w:tcPr>
            <w:tcW w:w="566"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二类区</w:t>
            </w:r>
          </w:p>
        </w:tc>
        <w:tc>
          <w:tcPr>
            <w:tcW w:w="1707" w:type="pct"/>
            <w:vMerge w:val="continue"/>
            <w:tcBorders>
              <w:left w:val="single" w:color="000000" w:sz="2" w:space="0"/>
              <w:right w:val="single" w:color="000000" w:sz="2" w:space="0"/>
            </w:tcBorders>
            <w:vAlign w:val="center"/>
          </w:tcPr>
          <w:p>
            <w:pPr>
              <w:jc w:val="center"/>
              <w:rPr>
                <w:color w:val="auto"/>
                <w:sz w:val="24"/>
                <w:szCs w:val="24"/>
              </w:rPr>
            </w:pPr>
          </w:p>
        </w:tc>
      </w:tr>
      <w:tr>
        <w:tblPrEx>
          <w:tblCellMar>
            <w:top w:w="0" w:type="dxa"/>
            <w:left w:w="0" w:type="dxa"/>
            <w:bottom w:w="0" w:type="dxa"/>
            <w:right w:w="0" w:type="dxa"/>
          </w:tblCellMar>
        </w:tblPrEx>
        <w:trPr>
          <w:trHeight w:val="397" w:hRule="exact"/>
        </w:trPr>
        <w:tc>
          <w:tcPr>
            <w:tcW w:w="254" w:type="pct"/>
            <w:tcBorders>
              <w:top w:val="single" w:color="000000" w:sz="2" w:space="0"/>
              <w:left w:val="single" w:color="000000" w:sz="2" w:space="0"/>
              <w:bottom w:val="single" w:color="auto" w:sz="4"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11</w:t>
            </w:r>
          </w:p>
        </w:tc>
        <w:tc>
          <w:tcPr>
            <w:tcW w:w="508"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532" w:type="pct"/>
            <w:vMerge w:val="continue"/>
            <w:tcBorders>
              <w:left w:val="single" w:color="000000" w:sz="2" w:space="0"/>
              <w:right w:val="single" w:color="000000" w:sz="2" w:space="0"/>
            </w:tcBorders>
            <w:shd w:val="clear" w:color="auto" w:fill="auto"/>
            <w:tcMar>
              <w:left w:w="72" w:type="dxa"/>
              <w:right w:w="72" w:type="dxa"/>
            </w:tcMar>
            <w:vAlign w:val="center"/>
          </w:tcPr>
          <w:p>
            <w:pPr>
              <w:pStyle w:val="29"/>
              <w:jc w:val="center"/>
              <w:rPr>
                <w:rFonts w:ascii="Times New Roman"/>
                <w:color w:val="auto"/>
              </w:rPr>
            </w:pPr>
          </w:p>
        </w:tc>
        <w:tc>
          <w:tcPr>
            <w:tcW w:w="1433" w:type="pct"/>
            <w:tcBorders>
              <w:top w:val="single" w:color="000000" w:sz="2" w:space="0"/>
              <w:left w:val="single" w:color="000000" w:sz="2" w:space="0"/>
              <w:bottom w:val="single" w:color="auto" w:sz="4" w:space="0"/>
              <w:right w:val="single" w:color="000000" w:sz="2" w:space="0"/>
            </w:tcBorders>
            <w:vAlign w:val="center"/>
          </w:tcPr>
          <w:p>
            <w:pPr>
              <w:pStyle w:val="29"/>
              <w:jc w:val="center"/>
              <w:rPr>
                <w:rFonts w:ascii="Times New Roman"/>
                <w:color w:val="auto"/>
              </w:rPr>
            </w:pPr>
            <w:r>
              <w:rPr>
                <w:rFonts w:hint="eastAsia" w:ascii="Times New Roman"/>
                <w:color w:val="auto"/>
              </w:rPr>
              <w:t>南港南生态控制区</w:t>
            </w:r>
          </w:p>
        </w:tc>
        <w:tc>
          <w:tcPr>
            <w:tcW w:w="566"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二类区</w:t>
            </w:r>
          </w:p>
        </w:tc>
        <w:tc>
          <w:tcPr>
            <w:tcW w:w="1707" w:type="pct"/>
            <w:vMerge w:val="continue"/>
            <w:tcBorders>
              <w:left w:val="single" w:color="000000" w:sz="2" w:space="0"/>
              <w:right w:val="single" w:color="000000" w:sz="2" w:space="0"/>
            </w:tcBorders>
            <w:vAlign w:val="center"/>
          </w:tcPr>
          <w:p>
            <w:pPr>
              <w:jc w:val="center"/>
              <w:rPr>
                <w:color w:val="auto"/>
                <w:sz w:val="24"/>
                <w:szCs w:val="24"/>
              </w:rPr>
            </w:pPr>
          </w:p>
        </w:tc>
      </w:tr>
      <w:tr>
        <w:tblPrEx>
          <w:tblCellMar>
            <w:top w:w="0" w:type="dxa"/>
            <w:left w:w="0" w:type="dxa"/>
            <w:bottom w:w="0" w:type="dxa"/>
            <w:right w:w="0" w:type="dxa"/>
          </w:tblCellMar>
        </w:tblPrEx>
        <w:trPr>
          <w:trHeight w:val="397" w:hRule="exact"/>
        </w:trPr>
        <w:tc>
          <w:tcPr>
            <w:tcW w:w="254" w:type="pct"/>
            <w:tcBorders>
              <w:top w:val="single" w:color="000000" w:sz="2" w:space="0"/>
              <w:left w:val="single" w:color="000000" w:sz="2" w:space="0"/>
              <w:bottom w:val="single" w:color="auto" w:sz="4"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12</w:t>
            </w:r>
          </w:p>
        </w:tc>
        <w:tc>
          <w:tcPr>
            <w:tcW w:w="508" w:type="pct"/>
            <w:vMerge w:val="continue"/>
            <w:tcBorders>
              <w:left w:val="single" w:color="000000" w:sz="2" w:space="0"/>
              <w:bottom w:val="single" w:color="auto" w:sz="4"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532" w:type="pct"/>
            <w:vMerge w:val="continue"/>
            <w:tcBorders>
              <w:left w:val="single" w:color="000000" w:sz="2" w:space="0"/>
              <w:bottom w:val="single" w:color="auto" w:sz="4" w:space="0"/>
              <w:right w:val="single" w:color="000000" w:sz="2" w:space="0"/>
            </w:tcBorders>
            <w:shd w:val="clear" w:color="auto" w:fill="auto"/>
            <w:tcMar>
              <w:left w:w="72" w:type="dxa"/>
              <w:right w:w="72" w:type="dxa"/>
            </w:tcMar>
            <w:vAlign w:val="center"/>
          </w:tcPr>
          <w:p>
            <w:pPr>
              <w:pStyle w:val="29"/>
              <w:jc w:val="center"/>
              <w:rPr>
                <w:rFonts w:ascii="Times New Roman"/>
                <w:color w:val="auto"/>
              </w:rPr>
            </w:pPr>
          </w:p>
        </w:tc>
        <w:tc>
          <w:tcPr>
            <w:tcW w:w="1433" w:type="pct"/>
            <w:tcBorders>
              <w:top w:val="single" w:color="000000" w:sz="2" w:space="0"/>
              <w:left w:val="single" w:color="000000" w:sz="2" w:space="0"/>
              <w:bottom w:val="single" w:color="auto" w:sz="4" w:space="0"/>
              <w:right w:val="single" w:color="000000" w:sz="2" w:space="0"/>
            </w:tcBorders>
            <w:vAlign w:val="center"/>
          </w:tcPr>
          <w:p>
            <w:pPr>
              <w:pStyle w:val="29"/>
              <w:jc w:val="center"/>
              <w:rPr>
                <w:rFonts w:ascii="Times New Roman"/>
                <w:color w:val="auto"/>
              </w:rPr>
            </w:pPr>
            <w:r>
              <w:rPr>
                <w:rFonts w:hint="eastAsia" w:ascii="Times New Roman"/>
                <w:color w:val="auto"/>
              </w:rPr>
              <w:t>北大港生态控制区</w:t>
            </w:r>
          </w:p>
        </w:tc>
        <w:tc>
          <w:tcPr>
            <w:tcW w:w="566"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二类区</w:t>
            </w:r>
          </w:p>
        </w:tc>
        <w:tc>
          <w:tcPr>
            <w:tcW w:w="1707" w:type="pct"/>
            <w:vMerge w:val="continue"/>
            <w:tcBorders>
              <w:left w:val="single" w:color="000000" w:sz="2" w:space="0"/>
              <w:bottom w:val="single" w:color="auto" w:sz="4" w:space="0"/>
              <w:right w:val="single" w:color="000000" w:sz="2" w:space="0"/>
            </w:tcBorders>
            <w:vAlign w:val="center"/>
          </w:tcPr>
          <w:p>
            <w:pPr>
              <w:jc w:val="center"/>
              <w:rPr>
                <w:color w:val="auto"/>
                <w:sz w:val="24"/>
                <w:szCs w:val="24"/>
              </w:rPr>
            </w:pPr>
          </w:p>
        </w:tc>
      </w:tr>
      <w:tr>
        <w:tblPrEx>
          <w:tblCellMar>
            <w:top w:w="0" w:type="dxa"/>
            <w:left w:w="0" w:type="dxa"/>
            <w:bottom w:w="0" w:type="dxa"/>
            <w:right w:w="0" w:type="dxa"/>
          </w:tblCellMar>
        </w:tblPrEx>
        <w:trPr>
          <w:trHeight w:val="397" w:hRule="exact"/>
        </w:trPr>
        <w:tc>
          <w:tcPr>
            <w:tcW w:w="254" w:type="pct"/>
            <w:tcBorders>
              <w:top w:val="single" w:color="000000" w:sz="2" w:space="0"/>
              <w:left w:val="single" w:color="000000" w:sz="2" w:space="0"/>
              <w:bottom w:val="single" w:color="auto" w:sz="4"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13</w:t>
            </w:r>
          </w:p>
        </w:tc>
        <w:tc>
          <w:tcPr>
            <w:tcW w:w="508" w:type="pct"/>
            <w:vMerge w:val="restart"/>
            <w:tcBorders>
              <w:top w:val="single" w:color="000000" w:sz="2" w:space="0"/>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海洋发展区</w:t>
            </w:r>
          </w:p>
        </w:tc>
        <w:tc>
          <w:tcPr>
            <w:tcW w:w="532" w:type="pct"/>
            <w:vMerge w:val="restart"/>
            <w:tcBorders>
              <w:top w:val="single" w:color="000000" w:sz="2" w:space="0"/>
              <w:left w:val="single" w:color="000000" w:sz="2" w:space="0"/>
              <w:right w:val="single" w:color="000000" w:sz="2" w:space="0"/>
            </w:tcBorders>
            <w:shd w:val="clear" w:color="auto" w:fill="auto"/>
            <w:tcMar>
              <w:left w:w="72" w:type="dxa"/>
              <w:right w:w="72" w:type="dxa"/>
            </w:tcMar>
            <w:vAlign w:val="center"/>
          </w:tcPr>
          <w:p>
            <w:pPr>
              <w:pStyle w:val="29"/>
              <w:jc w:val="center"/>
              <w:rPr>
                <w:rFonts w:ascii="Times New Roman"/>
                <w:color w:val="auto"/>
              </w:rPr>
            </w:pPr>
            <w:r>
              <w:rPr>
                <w:rFonts w:hint="eastAsia" w:ascii="Times New Roman"/>
                <w:color w:val="auto"/>
              </w:rPr>
              <w:t>渔业用海区</w:t>
            </w:r>
          </w:p>
        </w:tc>
        <w:tc>
          <w:tcPr>
            <w:tcW w:w="1433" w:type="pct"/>
            <w:tcBorders>
              <w:top w:val="single" w:color="000000" w:sz="2" w:space="0"/>
              <w:left w:val="single" w:color="000000" w:sz="2" w:space="0"/>
              <w:bottom w:val="single" w:color="auto" w:sz="4" w:space="0"/>
              <w:right w:val="single" w:color="000000" w:sz="2" w:space="0"/>
            </w:tcBorders>
            <w:vAlign w:val="center"/>
          </w:tcPr>
          <w:p>
            <w:pPr>
              <w:pStyle w:val="29"/>
              <w:jc w:val="center"/>
              <w:rPr>
                <w:rFonts w:ascii="Times New Roman"/>
                <w:color w:val="auto"/>
              </w:rPr>
            </w:pPr>
            <w:r>
              <w:rPr>
                <w:rFonts w:hint="eastAsia" w:ascii="Times New Roman"/>
                <w:color w:val="auto"/>
              </w:rPr>
              <w:t>大神堂渔业用海区</w:t>
            </w:r>
          </w:p>
        </w:tc>
        <w:tc>
          <w:tcPr>
            <w:tcW w:w="566"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二类区</w:t>
            </w:r>
          </w:p>
        </w:tc>
        <w:tc>
          <w:tcPr>
            <w:tcW w:w="1707"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水产养殖区</w:t>
            </w:r>
          </w:p>
        </w:tc>
      </w:tr>
      <w:tr>
        <w:tblPrEx>
          <w:tblCellMar>
            <w:top w:w="0" w:type="dxa"/>
            <w:left w:w="0" w:type="dxa"/>
            <w:bottom w:w="0" w:type="dxa"/>
            <w:right w:w="0" w:type="dxa"/>
          </w:tblCellMar>
        </w:tblPrEx>
        <w:trPr>
          <w:trHeight w:val="397" w:hRule="exact"/>
        </w:trPr>
        <w:tc>
          <w:tcPr>
            <w:tcW w:w="254" w:type="pct"/>
            <w:tcBorders>
              <w:top w:val="single" w:color="000000" w:sz="2" w:space="0"/>
              <w:left w:val="single" w:color="000000" w:sz="2" w:space="0"/>
              <w:bottom w:val="single" w:color="auto" w:sz="4"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14</w:t>
            </w:r>
          </w:p>
        </w:tc>
        <w:tc>
          <w:tcPr>
            <w:tcW w:w="508"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532"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1433" w:type="pct"/>
            <w:tcBorders>
              <w:top w:val="single" w:color="000000" w:sz="2" w:space="0"/>
              <w:left w:val="single" w:color="000000" w:sz="2" w:space="0"/>
              <w:bottom w:val="single" w:color="auto" w:sz="4" w:space="0"/>
              <w:right w:val="single" w:color="000000" w:sz="2" w:space="0"/>
            </w:tcBorders>
            <w:vAlign w:val="center"/>
          </w:tcPr>
          <w:p>
            <w:pPr>
              <w:pStyle w:val="29"/>
              <w:jc w:val="center"/>
              <w:rPr>
                <w:rFonts w:ascii="Times New Roman"/>
                <w:color w:val="auto"/>
              </w:rPr>
            </w:pPr>
            <w:r>
              <w:rPr>
                <w:rFonts w:hint="eastAsia" w:ascii="Times New Roman"/>
                <w:color w:val="auto"/>
              </w:rPr>
              <w:t>汉沽浅海渔业用海区</w:t>
            </w:r>
          </w:p>
        </w:tc>
        <w:tc>
          <w:tcPr>
            <w:tcW w:w="566"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二类区</w:t>
            </w:r>
          </w:p>
        </w:tc>
        <w:tc>
          <w:tcPr>
            <w:tcW w:w="1707"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水产养殖区</w:t>
            </w:r>
          </w:p>
        </w:tc>
      </w:tr>
      <w:tr>
        <w:tblPrEx>
          <w:tblCellMar>
            <w:top w:w="0" w:type="dxa"/>
            <w:left w:w="0" w:type="dxa"/>
            <w:bottom w:w="0" w:type="dxa"/>
            <w:right w:w="0" w:type="dxa"/>
          </w:tblCellMar>
        </w:tblPrEx>
        <w:trPr>
          <w:trHeight w:val="397" w:hRule="exact"/>
        </w:trPr>
        <w:tc>
          <w:tcPr>
            <w:tcW w:w="254" w:type="pct"/>
            <w:tcBorders>
              <w:top w:val="single" w:color="000000" w:sz="2" w:space="0"/>
              <w:left w:val="single" w:color="000000" w:sz="2" w:space="0"/>
              <w:bottom w:val="single" w:color="auto" w:sz="4"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15</w:t>
            </w:r>
          </w:p>
        </w:tc>
        <w:tc>
          <w:tcPr>
            <w:tcW w:w="508"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532"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1433" w:type="pct"/>
            <w:tcBorders>
              <w:top w:val="single" w:color="000000" w:sz="2" w:space="0"/>
              <w:left w:val="single" w:color="000000" w:sz="2" w:space="0"/>
              <w:bottom w:val="single" w:color="auto" w:sz="4" w:space="0"/>
              <w:right w:val="single" w:color="000000" w:sz="2" w:space="0"/>
            </w:tcBorders>
            <w:vAlign w:val="center"/>
          </w:tcPr>
          <w:p>
            <w:pPr>
              <w:pStyle w:val="29"/>
              <w:jc w:val="center"/>
              <w:rPr>
                <w:rFonts w:ascii="Times New Roman"/>
                <w:color w:val="auto"/>
              </w:rPr>
            </w:pPr>
            <w:r>
              <w:rPr>
                <w:rFonts w:hint="eastAsia" w:ascii="Times New Roman"/>
                <w:color w:val="auto"/>
              </w:rPr>
              <w:t>中心渔港渔业用海区</w:t>
            </w:r>
          </w:p>
        </w:tc>
        <w:tc>
          <w:tcPr>
            <w:tcW w:w="566"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二类区</w:t>
            </w:r>
          </w:p>
        </w:tc>
        <w:tc>
          <w:tcPr>
            <w:tcW w:w="1707"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水产养殖区</w:t>
            </w:r>
          </w:p>
        </w:tc>
      </w:tr>
      <w:tr>
        <w:tblPrEx>
          <w:tblCellMar>
            <w:top w:w="0" w:type="dxa"/>
            <w:left w:w="0" w:type="dxa"/>
            <w:bottom w:w="0" w:type="dxa"/>
            <w:right w:w="0" w:type="dxa"/>
          </w:tblCellMar>
        </w:tblPrEx>
        <w:trPr>
          <w:trHeight w:val="397" w:hRule="exact"/>
        </w:trPr>
        <w:tc>
          <w:tcPr>
            <w:tcW w:w="254" w:type="pct"/>
            <w:tcBorders>
              <w:top w:val="single" w:color="000000" w:sz="2" w:space="0"/>
              <w:left w:val="single" w:color="000000" w:sz="2" w:space="0"/>
              <w:bottom w:val="single" w:color="auto" w:sz="4"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16</w:t>
            </w:r>
          </w:p>
        </w:tc>
        <w:tc>
          <w:tcPr>
            <w:tcW w:w="508"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532" w:type="pct"/>
            <w:vMerge w:val="continue"/>
            <w:tcBorders>
              <w:left w:val="single" w:color="000000" w:sz="2" w:space="0"/>
              <w:bottom w:val="single" w:color="auto" w:sz="4"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1433" w:type="pct"/>
            <w:tcBorders>
              <w:top w:val="single" w:color="000000" w:sz="2" w:space="0"/>
              <w:left w:val="single" w:color="000000" w:sz="2" w:space="0"/>
              <w:bottom w:val="single" w:color="auto" w:sz="4" w:space="0"/>
              <w:right w:val="single" w:color="000000" w:sz="2" w:space="0"/>
            </w:tcBorders>
            <w:vAlign w:val="center"/>
          </w:tcPr>
          <w:p>
            <w:pPr>
              <w:pStyle w:val="29"/>
              <w:jc w:val="center"/>
              <w:rPr>
                <w:rFonts w:ascii="Times New Roman"/>
                <w:color w:val="auto"/>
              </w:rPr>
            </w:pPr>
            <w:r>
              <w:rPr>
                <w:rFonts w:hint="eastAsia" w:ascii="Times New Roman"/>
                <w:color w:val="auto"/>
              </w:rPr>
              <w:t>南港外海洋牧场渔业用海区</w:t>
            </w:r>
          </w:p>
        </w:tc>
        <w:tc>
          <w:tcPr>
            <w:tcW w:w="566"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二类区</w:t>
            </w:r>
          </w:p>
        </w:tc>
        <w:tc>
          <w:tcPr>
            <w:tcW w:w="1707"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水产养殖区</w:t>
            </w:r>
          </w:p>
        </w:tc>
      </w:tr>
      <w:tr>
        <w:tblPrEx>
          <w:tblCellMar>
            <w:top w:w="0" w:type="dxa"/>
            <w:left w:w="0" w:type="dxa"/>
            <w:bottom w:w="0" w:type="dxa"/>
            <w:right w:w="0" w:type="dxa"/>
          </w:tblCellMar>
        </w:tblPrEx>
        <w:trPr>
          <w:trHeight w:val="729" w:hRule="exact"/>
        </w:trPr>
        <w:tc>
          <w:tcPr>
            <w:tcW w:w="254" w:type="pct"/>
            <w:tcBorders>
              <w:top w:val="single" w:color="000000" w:sz="2" w:space="0"/>
              <w:left w:val="single" w:color="000000" w:sz="2" w:space="0"/>
              <w:bottom w:val="single" w:color="auto" w:sz="4"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17</w:t>
            </w:r>
          </w:p>
        </w:tc>
        <w:tc>
          <w:tcPr>
            <w:tcW w:w="508"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532" w:type="pct"/>
            <w:vMerge w:val="restart"/>
            <w:tcBorders>
              <w:top w:val="single" w:color="000000" w:sz="2" w:space="0"/>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交通运输用海区</w:t>
            </w:r>
          </w:p>
        </w:tc>
        <w:tc>
          <w:tcPr>
            <w:tcW w:w="1433" w:type="pct"/>
            <w:tcBorders>
              <w:top w:val="single" w:color="000000" w:sz="2" w:space="0"/>
              <w:left w:val="single" w:color="000000" w:sz="2" w:space="0"/>
              <w:bottom w:val="single" w:color="auto" w:sz="4" w:space="0"/>
              <w:right w:val="single" w:color="000000" w:sz="2" w:space="0"/>
            </w:tcBorders>
            <w:vAlign w:val="center"/>
          </w:tcPr>
          <w:p>
            <w:pPr>
              <w:pStyle w:val="29"/>
              <w:jc w:val="center"/>
              <w:rPr>
                <w:rFonts w:ascii="Times New Roman"/>
                <w:color w:val="auto"/>
              </w:rPr>
            </w:pPr>
            <w:r>
              <w:rPr>
                <w:rFonts w:hint="eastAsia" w:ascii="Times New Roman"/>
                <w:color w:val="auto"/>
              </w:rPr>
              <w:t>大神堂交通运输用海区</w:t>
            </w:r>
          </w:p>
        </w:tc>
        <w:tc>
          <w:tcPr>
            <w:tcW w:w="566"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w:t>
            </w:r>
          </w:p>
        </w:tc>
        <w:tc>
          <w:tcPr>
            <w:tcW w:w="1707"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路桥隧道用海，已建成，不使用近岸海域，不进行分类</w:t>
            </w:r>
          </w:p>
        </w:tc>
      </w:tr>
      <w:tr>
        <w:tblPrEx>
          <w:tblCellMar>
            <w:top w:w="0" w:type="dxa"/>
            <w:left w:w="0" w:type="dxa"/>
            <w:bottom w:w="0" w:type="dxa"/>
            <w:right w:w="0" w:type="dxa"/>
          </w:tblCellMar>
        </w:tblPrEx>
        <w:trPr>
          <w:trHeight w:val="397" w:hRule="exact"/>
        </w:trPr>
        <w:tc>
          <w:tcPr>
            <w:tcW w:w="254" w:type="pct"/>
            <w:tcBorders>
              <w:top w:val="single" w:color="000000" w:sz="2" w:space="0"/>
              <w:left w:val="single" w:color="000000" w:sz="2" w:space="0"/>
              <w:bottom w:val="single" w:color="auto" w:sz="4"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18</w:t>
            </w:r>
          </w:p>
        </w:tc>
        <w:tc>
          <w:tcPr>
            <w:tcW w:w="508"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532"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1433" w:type="pct"/>
            <w:tcBorders>
              <w:top w:val="single" w:color="000000" w:sz="2" w:space="0"/>
              <w:left w:val="single" w:color="000000" w:sz="2" w:space="0"/>
              <w:bottom w:val="single" w:color="auto" w:sz="4" w:space="0"/>
              <w:right w:val="single" w:color="000000" w:sz="2" w:space="0"/>
            </w:tcBorders>
            <w:vAlign w:val="center"/>
          </w:tcPr>
          <w:p>
            <w:pPr>
              <w:pStyle w:val="29"/>
              <w:jc w:val="center"/>
              <w:rPr>
                <w:rFonts w:ascii="Times New Roman"/>
                <w:color w:val="auto"/>
              </w:rPr>
            </w:pPr>
            <w:r>
              <w:rPr>
                <w:rFonts w:hint="eastAsia" w:ascii="Times New Roman"/>
                <w:color w:val="auto"/>
              </w:rPr>
              <w:t>天津港北港交通运输用海区</w:t>
            </w:r>
          </w:p>
        </w:tc>
        <w:tc>
          <w:tcPr>
            <w:tcW w:w="566"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三类区</w:t>
            </w:r>
          </w:p>
        </w:tc>
        <w:tc>
          <w:tcPr>
            <w:tcW w:w="1707"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港口区为四类区、航运区为三类区</w:t>
            </w:r>
          </w:p>
        </w:tc>
      </w:tr>
      <w:tr>
        <w:tblPrEx>
          <w:tblCellMar>
            <w:top w:w="0" w:type="dxa"/>
            <w:left w:w="0" w:type="dxa"/>
            <w:bottom w:w="0" w:type="dxa"/>
            <w:right w:w="0" w:type="dxa"/>
          </w:tblCellMar>
        </w:tblPrEx>
        <w:trPr>
          <w:trHeight w:val="397" w:hRule="exact"/>
        </w:trPr>
        <w:tc>
          <w:tcPr>
            <w:tcW w:w="254" w:type="pct"/>
            <w:tcBorders>
              <w:top w:val="single" w:color="000000" w:sz="2" w:space="0"/>
              <w:left w:val="single" w:color="000000" w:sz="2" w:space="0"/>
              <w:bottom w:val="single" w:color="auto" w:sz="4"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19</w:t>
            </w:r>
          </w:p>
        </w:tc>
        <w:tc>
          <w:tcPr>
            <w:tcW w:w="508"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532"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1433" w:type="pct"/>
            <w:tcBorders>
              <w:top w:val="single" w:color="000000" w:sz="2" w:space="0"/>
              <w:left w:val="single" w:color="000000" w:sz="2" w:space="0"/>
              <w:bottom w:val="single" w:color="auto" w:sz="4" w:space="0"/>
              <w:right w:val="single" w:color="000000" w:sz="2" w:space="0"/>
            </w:tcBorders>
            <w:vAlign w:val="center"/>
          </w:tcPr>
          <w:p>
            <w:pPr>
              <w:pStyle w:val="29"/>
              <w:jc w:val="center"/>
              <w:rPr>
                <w:rFonts w:ascii="Times New Roman"/>
                <w:color w:val="auto"/>
              </w:rPr>
            </w:pPr>
            <w:r>
              <w:rPr>
                <w:rFonts w:hint="eastAsia" w:ascii="Times New Roman"/>
                <w:color w:val="auto"/>
              </w:rPr>
              <w:t>天津港南港交通运输用海区</w:t>
            </w:r>
          </w:p>
        </w:tc>
        <w:tc>
          <w:tcPr>
            <w:tcW w:w="566"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三类区</w:t>
            </w:r>
          </w:p>
        </w:tc>
        <w:tc>
          <w:tcPr>
            <w:tcW w:w="1707"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港口区为四类区、航运区为三类区</w:t>
            </w:r>
          </w:p>
        </w:tc>
      </w:tr>
      <w:tr>
        <w:tblPrEx>
          <w:tblCellMar>
            <w:top w:w="0" w:type="dxa"/>
            <w:left w:w="0" w:type="dxa"/>
            <w:bottom w:w="0" w:type="dxa"/>
            <w:right w:w="0" w:type="dxa"/>
          </w:tblCellMar>
        </w:tblPrEx>
        <w:trPr>
          <w:trHeight w:val="397" w:hRule="exact"/>
        </w:trPr>
        <w:tc>
          <w:tcPr>
            <w:tcW w:w="254" w:type="pct"/>
            <w:tcBorders>
              <w:top w:val="single" w:color="000000" w:sz="2" w:space="0"/>
              <w:left w:val="single" w:color="000000" w:sz="2" w:space="0"/>
              <w:bottom w:val="single" w:color="auto" w:sz="4"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20</w:t>
            </w:r>
          </w:p>
        </w:tc>
        <w:tc>
          <w:tcPr>
            <w:tcW w:w="508"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532"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1433" w:type="pct"/>
            <w:tcBorders>
              <w:top w:val="single" w:color="000000" w:sz="2" w:space="0"/>
              <w:left w:val="single" w:color="000000" w:sz="2" w:space="0"/>
              <w:bottom w:val="single" w:color="auto" w:sz="4" w:space="0"/>
              <w:right w:val="single" w:color="000000" w:sz="2" w:space="0"/>
            </w:tcBorders>
            <w:vAlign w:val="center"/>
          </w:tcPr>
          <w:p>
            <w:pPr>
              <w:pStyle w:val="29"/>
              <w:jc w:val="center"/>
              <w:rPr>
                <w:rFonts w:ascii="Times New Roman"/>
                <w:color w:val="auto"/>
              </w:rPr>
            </w:pPr>
            <w:r>
              <w:rPr>
                <w:rFonts w:hint="eastAsia" w:ascii="Times New Roman"/>
                <w:color w:val="auto"/>
              </w:rPr>
              <w:t>天津港主航道南侧锚地交通运输用海区</w:t>
            </w:r>
          </w:p>
        </w:tc>
        <w:tc>
          <w:tcPr>
            <w:tcW w:w="566"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三类区</w:t>
            </w:r>
          </w:p>
        </w:tc>
        <w:tc>
          <w:tcPr>
            <w:tcW w:w="1707"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航运区为三类区</w:t>
            </w:r>
          </w:p>
        </w:tc>
      </w:tr>
      <w:tr>
        <w:tblPrEx>
          <w:tblCellMar>
            <w:top w:w="0" w:type="dxa"/>
            <w:left w:w="0" w:type="dxa"/>
            <w:bottom w:w="0" w:type="dxa"/>
            <w:right w:w="0" w:type="dxa"/>
          </w:tblCellMar>
        </w:tblPrEx>
        <w:trPr>
          <w:trHeight w:val="397" w:hRule="exact"/>
        </w:trPr>
        <w:tc>
          <w:tcPr>
            <w:tcW w:w="254" w:type="pct"/>
            <w:tcBorders>
              <w:top w:val="single" w:color="000000" w:sz="2" w:space="0"/>
              <w:left w:val="single" w:color="000000" w:sz="2" w:space="0"/>
              <w:bottom w:val="single" w:color="auto" w:sz="4"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21</w:t>
            </w:r>
          </w:p>
        </w:tc>
        <w:tc>
          <w:tcPr>
            <w:tcW w:w="508"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532" w:type="pct"/>
            <w:vMerge w:val="continue"/>
            <w:tcBorders>
              <w:left w:val="single" w:color="000000" w:sz="2" w:space="0"/>
              <w:bottom w:val="single" w:color="auto" w:sz="4"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1433"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s="宋体"/>
                <w:color w:val="auto"/>
                <w:sz w:val="24"/>
                <w:szCs w:val="24"/>
              </w:rPr>
              <w:t>马棚口交通运输用海区</w:t>
            </w:r>
          </w:p>
        </w:tc>
        <w:tc>
          <w:tcPr>
            <w:tcW w:w="566"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四类区</w:t>
            </w:r>
          </w:p>
        </w:tc>
        <w:tc>
          <w:tcPr>
            <w:tcW w:w="1707"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路桥隧道用海</w:t>
            </w:r>
          </w:p>
        </w:tc>
      </w:tr>
      <w:tr>
        <w:tblPrEx>
          <w:tblCellMar>
            <w:top w:w="0" w:type="dxa"/>
            <w:left w:w="0" w:type="dxa"/>
            <w:bottom w:w="0" w:type="dxa"/>
            <w:right w:w="0" w:type="dxa"/>
          </w:tblCellMar>
        </w:tblPrEx>
        <w:trPr>
          <w:trHeight w:val="397" w:hRule="exact"/>
        </w:trPr>
        <w:tc>
          <w:tcPr>
            <w:tcW w:w="254" w:type="pct"/>
            <w:tcBorders>
              <w:top w:val="single" w:color="000000" w:sz="2" w:space="0"/>
              <w:left w:val="single" w:color="000000" w:sz="2" w:space="0"/>
              <w:bottom w:val="single" w:color="auto" w:sz="4"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22</w:t>
            </w:r>
          </w:p>
        </w:tc>
        <w:tc>
          <w:tcPr>
            <w:tcW w:w="508"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532" w:type="pct"/>
            <w:vMerge w:val="restart"/>
            <w:tcBorders>
              <w:top w:val="single" w:color="000000" w:sz="2" w:space="0"/>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工矿通信用海区</w:t>
            </w:r>
          </w:p>
        </w:tc>
        <w:tc>
          <w:tcPr>
            <w:tcW w:w="1433" w:type="pct"/>
            <w:tcBorders>
              <w:top w:val="single" w:color="000000" w:sz="2" w:space="0"/>
              <w:left w:val="single" w:color="000000" w:sz="2" w:space="0"/>
              <w:bottom w:val="single" w:color="auto" w:sz="4" w:space="0"/>
              <w:right w:val="single" w:color="000000" w:sz="2" w:space="0"/>
            </w:tcBorders>
            <w:vAlign w:val="center"/>
          </w:tcPr>
          <w:p>
            <w:pPr>
              <w:pStyle w:val="29"/>
              <w:jc w:val="center"/>
              <w:rPr>
                <w:rFonts w:ascii="Times New Roman"/>
                <w:color w:val="auto"/>
              </w:rPr>
            </w:pPr>
            <w:r>
              <w:rPr>
                <w:rFonts w:hint="eastAsia" w:ascii="Times New Roman"/>
                <w:color w:val="auto"/>
              </w:rPr>
              <w:t>大神堂风电工矿通信用海区</w:t>
            </w:r>
          </w:p>
        </w:tc>
        <w:tc>
          <w:tcPr>
            <w:tcW w:w="566"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w:t>
            </w:r>
          </w:p>
        </w:tc>
        <w:tc>
          <w:tcPr>
            <w:tcW w:w="1707"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风电桩不使用近岸海域，不进行分类</w:t>
            </w:r>
          </w:p>
        </w:tc>
      </w:tr>
      <w:tr>
        <w:tblPrEx>
          <w:tblCellMar>
            <w:top w:w="0" w:type="dxa"/>
            <w:left w:w="0" w:type="dxa"/>
            <w:bottom w:w="0" w:type="dxa"/>
            <w:right w:w="0" w:type="dxa"/>
          </w:tblCellMar>
        </w:tblPrEx>
        <w:trPr>
          <w:trHeight w:val="397" w:hRule="exact"/>
        </w:trPr>
        <w:tc>
          <w:tcPr>
            <w:tcW w:w="254" w:type="pct"/>
            <w:tcBorders>
              <w:top w:val="single" w:color="000000" w:sz="2" w:space="0"/>
              <w:left w:val="single" w:color="000000" w:sz="2" w:space="0"/>
              <w:bottom w:val="single" w:color="auto" w:sz="4"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23</w:t>
            </w:r>
          </w:p>
        </w:tc>
        <w:tc>
          <w:tcPr>
            <w:tcW w:w="508"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532"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1433" w:type="pct"/>
            <w:tcBorders>
              <w:top w:val="single" w:color="000000" w:sz="2" w:space="0"/>
              <w:left w:val="single" w:color="000000" w:sz="2" w:space="0"/>
              <w:bottom w:val="single" w:color="auto" w:sz="4" w:space="0"/>
              <w:right w:val="single" w:color="000000" w:sz="2" w:space="0"/>
            </w:tcBorders>
            <w:vAlign w:val="center"/>
          </w:tcPr>
          <w:p>
            <w:pPr>
              <w:pStyle w:val="29"/>
              <w:jc w:val="center"/>
              <w:rPr>
                <w:rFonts w:ascii="Times New Roman"/>
                <w:color w:val="auto"/>
              </w:rPr>
            </w:pPr>
            <w:r>
              <w:rPr>
                <w:rFonts w:hint="eastAsia" w:ascii="Times New Roman"/>
                <w:color w:val="auto"/>
              </w:rPr>
              <w:t>长芦盐场工矿通信用海区</w:t>
            </w:r>
          </w:p>
        </w:tc>
        <w:tc>
          <w:tcPr>
            <w:tcW w:w="566"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二类区</w:t>
            </w:r>
          </w:p>
        </w:tc>
        <w:tc>
          <w:tcPr>
            <w:tcW w:w="1707"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盐田区</w:t>
            </w:r>
          </w:p>
        </w:tc>
      </w:tr>
      <w:tr>
        <w:tblPrEx>
          <w:tblCellMar>
            <w:top w:w="0" w:type="dxa"/>
            <w:left w:w="0" w:type="dxa"/>
            <w:bottom w:w="0" w:type="dxa"/>
            <w:right w:w="0" w:type="dxa"/>
          </w:tblCellMar>
        </w:tblPrEx>
        <w:trPr>
          <w:trHeight w:val="397" w:hRule="exact"/>
        </w:trPr>
        <w:tc>
          <w:tcPr>
            <w:tcW w:w="254" w:type="pct"/>
            <w:tcBorders>
              <w:top w:val="single" w:color="000000" w:sz="2" w:space="0"/>
              <w:left w:val="single" w:color="000000" w:sz="2" w:space="0"/>
              <w:bottom w:val="single" w:color="auto" w:sz="4"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24</w:t>
            </w:r>
          </w:p>
        </w:tc>
        <w:tc>
          <w:tcPr>
            <w:tcW w:w="508"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532"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1433" w:type="pct"/>
            <w:tcBorders>
              <w:top w:val="single" w:color="000000" w:sz="2" w:space="0"/>
              <w:left w:val="single" w:color="000000" w:sz="2" w:space="0"/>
              <w:bottom w:val="single" w:color="auto" w:sz="4" w:space="0"/>
              <w:right w:val="single" w:color="000000" w:sz="2" w:space="0"/>
            </w:tcBorders>
            <w:vAlign w:val="center"/>
          </w:tcPr>
          <w:p>
            <w:pPr>
              <w:pStyle w:val="29"/>
              <w:jc w:val="center"/>
              <w:rPr>
                <w:rFonts w:ascii="Times New Roman"/>
                <w:color w:val="auto"/>
              </w:rPr>
            </w:pPr>
            <w:r>
              <w:rPr>
                <w:rFonts w:hint="eastAsia" w:ascii="Times New Roman"/>
                <w:color w:val="auto"/>
              </w:rPr>
              <w:t>北疆电厂工矿通信用海区</w:t>
            </w:r>
          </w:p>
        </w:tc>
        <w:tc>
          <w:tcPr>
            <w:tcW w:w="566"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三类区</w:t>
            </w:r>
          </w:p>
        </w:tc>
        <w:tc>
          <w:tcPr>
            <w:tcW w:w="1707"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一般工业用水区</w:t>
            </w:r>
          </w:p>
        </w:tc>
      </w:tr>
      <w:tr>
        <w:tblPrEx>
          <w:tblCellMar>
            <w:top w:w="0" w:type="dxa"/>
            <w:left w:w="0" w:type="dxa"/>
            <w:bottom w:w="0" w:type="dxa"/>
            <w:right w:w="0" w:type="dxa"/>
          </w:tblCellMar>
        </w:tblPrEx>
        <w:trPr>
          <w:trHeight w:val="397" w:hRule="exact"/>
        </w:trPr>
        <w:tc>
          <w:tcPr>
            <w:tcW w:w="254" w:type="pct"/>
            <w:tcBorders>
              <w:top w:val="single" w:color="000000" w:sz="2" w:space="0"/>
              <w:left w:val="single" w:color="000000" w:sz="2" w:space="0"/>
              <w:bottom w:val="single" w:color="auto" w:sz="4"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25</w:t>
            </w:r>
          </w:p>
        </w:tc>
        <w:tc>
          <w:tcPr>
            <w:tcW w:w="508"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532"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1433" w:type="pct"/>
            <w:tcBorders>
              <w:top w:val="single" w:color="000000" w:sz="2" w:space="0"/>
              <w:left w:val="single" w:color="000000" w:sz="2" w:space="0"/>
              <w:bottom w:val="single" w:color="auto" w:sz="4" w:space="0"/>
              <w:right w:val="single" w:color="000000" w:sz="2" w:space="0"/>
            </w:tcBorders>
            <w:vAlign w:val="center"/>
          </w:tcPr>
          <w:p>
            <w:pPr>
              <w:pStyle w:val="29"/>
              <w:jc w:val="center"/>
              <w:rPr>
                <w:rFonts w:ascii="Times New Roman"/>
                <w:color w:val="auto"/>
              </w:rPr>
            </w:pPr>
            <w:r>
              <w:rPr>
                <w:rFonts w:hint="eastAsia" w:ascii="Times New Roman"/>
                <w:color w:val="auto"/>
              </w:rPr>
              <w:t>临港北工矿通信用海区</w:t>
            </w:r>
          </w:p>
        </w:tc>
        <w:tc>
          <w:tcPr>
            <w:tcW w:w="566"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三类区</w:t>
            </w:r>
          </w:p>
        </w:tc>
        <w:tc>
          <w:tcPr>
            <w:tcW w:w="1707"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一般工业用水区</w:t>
            </w:r>
          </w:p>
        </w:tc>
      </w:tr>
      <w:tr>
        <w:tblPrEx>
          <w:tblCellMar>
            <w:top w:w="0" w:type="dxa"/>
            <w:left w:w="0" w:type="dxa"/>
            <w:bottom w:w="0" w:type="dxa"/>
            <w:right w:w="0" w:type="dxa"/>
          </w:tblCellMar>
        </w:tblPrEx>
        <w:trPr>
          <w:trHeight w:val="397" w:hRule="exact"/>
        </w:trPr>
        <w:tc>
          <w:tcPr>
            <w:tcW w:w="254" w:type="pct"/>
            <w:tcBorders>
              <w:top w:val="single" w:color="000000" w:sz="2" w:space="0"/>
              <w:left w:val="single" w:color="000000" w:sz="2" w:space="0"/>
              <w:bottom w:val="single" w:color="auto" w:sz="4"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26</w:t>
            </w:r>
          </w:p>
        </w:tc>
        <w:tc>
          <w:tcPr>
            <w:tcW w:w="508"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532"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1433" w:type="pct"/>
            <w:tcBorders>
              <w:top w:val="single" w:color="000000" w:sz="2" w:space="0"/>
              <w:left w:val="single" w:color="000000" w:sz="2" w:space="0"/>
              <w:bottom w:val="single" w:color="auto" w:sz="4" w:space="0"/>
              <w:right w:val="single" w:color="000000" w:sz="2" w:space="0"/>
            </w:tcBorders>
            <w:vAlign w:val="center"/>
          </w:tcPr>
          <w:p>
            <w:pPr>
              <w:pStyle w:val="29"/>
              <w:jc w:val="center"/>
              <w:rPr>
                <w:rFonts w:ascii="Times New Roman"/>
                <w:color w:val="auto"/>
              </w:rPr>
            </w:pPr>
            <w:r>
              <w:rPr>
                <w:rFonts w:hint="eastAsia" w:ascii="Times New Roman"/>
                <w:color w:val="auto"/>
              </w:rPr>
              <w:t>临港南工矿通信用海区</w:t>
            </w:r>
          </w:p>
        </w:tc>
        <w:tc>
          <w:tcPr>
            <w:tcW w:w="566"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三类区</w:t>
            </w:r>
          </w:p>
        </w:tc>
        <w:tc>
          <w:tcPr>
            <w:tcW w:w="1707"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一般工业用水区</w:t>
            </w:r>
          </w:p>
        </w:tc>
      </w:tr>
      <w:tr>
        <w:tblPrEx>
          <w:tblCellMar>
            <w:top w:w="0" w:type="dxa"/>
            <w:left w:w="0" w:type="dxa"/>
            <w:bottom w:w="0" w:type="dxa"/>
            <w:right w:w="0" w:type="dxa"/>
          </w:tblCellMar>
        </w:tblPrEx>
        <w:trPr>
          <w:trHeight w:val="397" w:hRule="exact"/>
        </w:trPr>
        <w:tc>
          <w:tcPr>
            <w:tcW w:w="254" w:type="pct"/>
            <w:tcBorders>
              <w:top w:val="single" w:color="000000" w:sz="2" w:space="0"/>
              <w:left w:val="single" w:color="000000" w:sz="2" w:space="0"/>
              <w:bottom w:val="single" w:color="auto" w:sz="4"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27</w:t>
            </w:r>
          </w:p>
        </w:tc>
        <w:tc>
          <w:tcPr>
            <w:tcW w:w="508"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532" w:type="pct"/>
            <w:vMerge w:val="continue"/>
            <w:tcBorders>
              <w:left w:val="single" w:color="000000" w:sz="2" w:space="0"/>
              <w:bottom w:val="single" w:color="auto" w:sz="4"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1433" w:type="pct"/>
            <w:tcBorders>
              <w:top w:val="single" w:color="000000" w:sz="2" w:space="0"/>
              <w:left w:val="single" w:color="000000" w:sz="2" w:space="0"/>
              <w:bottom w:val="single" w:color="auto" w:sz="4" w:space="0"/>
              <w:right w:val="single" w:color="000000" w:sz="2" w:space="0"/>
            </w:tcBorders>
            <w:vAlign w:val="center"/>
          </w:tcPr>
          <w:p>
            <w:pPr>
              <w:pStyle w:val="29"/>
              <w:jc w:val="center"/>
              <w:rPr>
                <w:rFonts w:ascii="Times New Roman"/>
                <w:color w:val="auto"/>
              </w:rPr>
            </w:pPr>
            <w:r>
              <w:rPr>
                <w:rFonts w:hint="eastAsia" w:ascii="Times New Roman"/>
                <w:color w:val="auto"/>
              </w:rPr>
              <w:t>南港东工矿通信用海区</w:t>
            </w:r>
          </w:p>
        </w:tc>
        <w:tc>
          <w:tcPr>
            <w:tcW w:w="566"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三类区</w:t>
            </w:r>
          </w:p>
        </w:tc>
        <w:tc>
          <w:tcPr>
            <w:tcW w:w="1707"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一般工业用水区</w:t>
            </w:r>
          </w:p>
        </w:tc>
      </w:tr>
      <w:tr>
        <w:tblPrEx>
          <w:tblCellMar>
            <w:top w:w="0" w:type="dxa"/>
            <w:left w:w="0" w:type="dxa"/>
            <w:bottom w:w="0" w:type="dxa"/>
            <w:right w:w="0" w:type="dxa"/>
          </w:tblCellMar>
        </w:tblPrEx>
        <w:trPr>
          <w:trHeight w:val="397" w:hRule="exact"/>
        </w:trPr>
        <w:tc>
          <w:tcPr>
            <w:tcW w:w="254" w:type="pct"/>
            <w:tcBorders>
              <w:top w:val="single" w:color="000000" w:sz="2" w:space="0"/>
              <w:left w:val="single" w:color="000000" w:sz="2" w:space="0"/>
              <w:bottom w:val="single" w:color="auto" w:sz="4"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28</w:t>
            </w:r>
          </w:p>
        </w:tc>
        <w:tc>
          <w:tcPr>
            <w:tcW w:w="508"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532" w:type="pct"/>
            <w:vMerge w:val="restart"/>
            <w:tcBorders>
              <w:top w:val="single" w:color="000000" w:sz="2" w:space="0"/>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游憩用海区</w:t>
            </w:r>
          </w:p>
        </w:tc>
        <w:tc>
          <w:tcPr>
            <w:tcW w:w="1433" w:type="pct"/>
            <w:tcBorders>
              <w:top w:val="single" w:color="000000" w:sz="2" w:space="0"/>
              <w:left w:val="single" w:color="000000" w:sz="2" w:space="0"/>
              <w:bottom w:val="single" w:color="auto" w:sz="4" w:space="0"/>
              <w:right w:val="single" w:color="000000" w:sz="2" w:space="0"/>
            </w:tcBorders>
            <w:vAlign w:val="center"/>
          </w:tcPr>
          <w:p>
            <w:pPr>
              <w:pStyle w:val="29"/>
              <w:jc w:val="center"/>
              <w:rPr>
                <w:rFonts w:ascii="Times New Roman"/>
                <w:color w:val="auto"/>
              </w:rPr>
            </w:pPr>
            <w:r>
              <w:rPr>
                <w:rFonts w:hint="eastAsia" w:ascii="Times New Roman"/>
                <w:color w:val="auto"/>
              </w:rPr>
              <w:t>中心渔港北游憩用海区</w:t>
            </w:r>
          </w:p>
        </w:tc>
        <w:tc>
          <w:tcPr>
            <w:tcW w:w="566"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三类区</w:t>
            </w:r>
          </w:p>
        </w:tc>
        <w:tc>
          <w:tcPr>
            <w:tcW w:w="1707"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海滨风景旅游区</w:t>
            </w:r>
          </w:p>
        </w:tc>
      </w:tr>
      <w:tr>
        <w:tblPrEx>
          <w:tblCellMar>
            <w:top w:w="0" w:type="dxa"/>
            <w:left w:w="0" w:type="dxa"/>
            <w:bottom w:w="0" w:type="dxa"/>
            <w:right w:w="0" w:type="dxa"/>
          </w:tblCellMar>
        </w:tblPrEx>
        <w:trPr>
          <w:trHeight w:val="397" w:hRule="exact"/>
        </w:trPr>
        <w:tc>
          <w:tcPr>
            <w:tcW w:w="254" w:type="pct"/>
            <w:tcBorders>
              <w:top w:val="single" w:color="000000" w:sz="2" w:space="0"/>
              <w:left w:val="single" w:color="000000" w:sz="2" w:space="0"/>
              <w:bottom w:val="single" w:color="auto" w:sz="4"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29</w:t>
            </w:r>
          </w:p>
        </w:tc>
        <w:tc>
          <w:tcPr>
            <w:tcW w:w="508"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532"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1433" w:type="pct"/>
            <w:tcBorders>
              <w:top w:val="single" w:color="000000" w:sz="2" w:space="0"/>
              <w:left w:val="single" w:color="000000" w:sz="2" w:space="0"/>
              <w:bottom w:val="single" w:color="auto" w:sz="4" w:space="0"/>
              <w:right w:val="single" w:color="000000" w:sz="2" w:space="0"/>
            </w:tcBorders>
            <w:vAlign w:val="center"/>
          </w:tcPr>
          <w:p>
            <w:pPr>
              <w:pStyle w:val="29"/>
              <w:jc w:val="center"/>
              <w:rPr>
                <w:rFonts w:ascii="Times New Roman"/>
                <w:color w:val="auto"/>
              </w:rPr>
            </w:pPr>
            <w:r>
              <w:rPr>
                <w:rFonts w:hint="eastAsia" w:ascii="Times New Roman"/>
                <w:color w:val="auto"/>
              </w:rPr>
              <w:t>中心渔港游憩用海区</w:t>
            </w:r>
          </w:p>
        </w:tc>
        <w:tc>
          <w:tcPr>
            <w:tcW w:w="566"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三类区</w:t>
            </w:r>
          </w:p>
        </w:tc>
        <w:tc>
          <w:tcPr>
            <w:tcW w:w="1707"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海滨风景旅游区</w:t>
            </w:r>
          </w:p>
        </w:tc>
      </w:tr>
      <w:tr>
        <w:tblPrEx>
          <w:tblCellMar>
            <w:top w:w="0" w:type="dxa"/>
            <w:left w:w="0" w:type="dxa"/>
            <w:bottom w:w="0" w:type="dxa"/>
            <w:right w:w="0" w:type="dxa"/>
          </w:tblCellMar>
        </w:tblPrEx>
        <w:trPr>
          <w:trHeight w:val="397" w:hRule="exact"/>
        </w:trPr>
        <w:tc>
          <w:tcPr>
            <w:tcW w:w="254" w:type="pct"/>
            <w:tcBorders>
              <w:top w:val="single" w:color="000000" w:sz="2" w:space="0"/>
              <w:left w:val="single" w:color="000000" w:sz="2" w:space="0"/>
              <w:bottom w:val="single" w:color="auto" w:sz="4"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30</w:t>
            </w:r>
          </w:p>
        </w:tc>
        <w:tc>
          <w:tcPr>
            <w:tcW w:w="508"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532"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1433" w:type="pct"/>
            <w:tcBorders>
              <w:top w:val="single" w:color="000000" w:sz="2" w:space="0"/>
              <w:left w:val="single" w:color="000000" w:sz="2" w:space="0"/>
              <w:bottom w:val="single" w:color="auto" w:sz="4" w:space="0"/>
              <w:right w:val="single" w:color="000000" w:sz="2" w:space="0"/>
            </w:tcBorders>
            <w:vAlign w:val="center"/>
          </w:tcPr>
          <w:p>
            <w:pPr>
              <w:pStyle w:val="29"/>
              <w:jc w:val="center"/>
              <w:rPr>
                <w:rFonts w:ascii="Times New Roman"/>
                <w:color w:val="auto"/>
              </w:rPr>
            </w:pPr>
            <w:r>
              <w:rPr>
                <w:rFonts w:hint="eastAsia" w:ascii="Times New Roman"/>
                <w:color w:val="auto"/>
              </w:rPr>
              <w:t>航母主题公园游憩用海区</w:t>
            </w:r>
          </w:p>
        </w:tc>
        <w:tc>
          <w:tcPr>
            <w:tcW w:w="566"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三类区</w:t>
            </w:r>
          </w:p>
        </w:tc>
        <w:tc>
          <w:tcPr>
            <w:tcW w:w="1707"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海滨风景旅游区</w:t>
            </w:r>
          </w:p>
        </w:tc>
      </w:tr>
      <w:tr>
        <w:tblPrEx>
          <w:tblCellMar>
            <w:top w:w="0" w:type="dxa"/>
            <w:left w:w="0" w:type="dxa"/>
            <w:bottom w:w="0" w:type="dxa"/>
            <w:right w:w="0" w:type="dxa"/>
          </w:tblCellMar>
        </w:tblPrEx>
        <w:trPr>
          <w:trHeight w:val="397" w:hRule="exact"/>
        </w:trPr>
        <w:tc>
          <w:tcPr>
            <w:tcW w:w="254" w:type="pct"/>
            <w:tcBorders>
              <w:top w:val="single" w:color="000000" w:sz="2" w:space="0"/>
              <w:left w:val="single" w:color="000000" w:sz="2" w:space="0"/>
              <w:bottom w:val="single" w:color="auto" w:sz="4"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31</w:t>
            </w:r>
          </w:p>
        </w:tc>
        <w:tc>
          <w:tcPr>
            <w:tcW w:w="508"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532"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1433" w:type="pct"/>
            <w:tcBorders>
              <w:top w:val="single" w:color="000000" w:sz="2" w:space="0"/>
              <w:left w:val="single" w:color="000000" w:sz="2" w:space="0"/>
              <w:bottom w:val="single" w:color="auto" w:sz="4" w:space="0"/>
              <w:right w:val="single" w:color="000000" w:sz="2" w:space="0"/>
            </w:tcBorders>
            <w:vAlign w:val="center"/>
          </w:tcPr>
          <w:p>
            <w:pPr>
              <w:pStyle w:val="29"/>
              <w:jc w:val="center"/>
              <w:rPr>
                <w:rFonts w:ascii="Times New Roman"/>
                <w:color w:val="auto"/>
              </w:rPr>
            </w:pPr>
            <w:r>
              <w:rPr>
                <w:rFonts w:hint="eastAsia" w:ascii="Times New Roman"/>
                <w:color w:val="auto"/>
              </w:rPr>
              <w:t>临海新城游憩用海区</w:t>
            </w:r>
          </w:p>
        </w:tc>
        <w:tc>
          <w:tcPr>
            <w:tcW w:w="566"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三类区</w:t>
            </w:r>
          </w:p>
        </w:tc>
        <w:tc>
          <w:tcPr>
            <w:tcW w:w="1707"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海滨风景旅游区</w:t>
            </w:r>
          </w:p>
        </w:tc>
      </w:tr>
      <w:tr>
        <w:tblPrEx>
          <w:tblCellMar>
            <w:top w:w="0" w:type="dxa"/>
            <w:left w:w="0" w:type="dxa"/>
            <w:bottom w:w="0" w:type="dxa"/>
            <w:right w:w="0" w:type="dxa"/>
          </w:tblCellMar>
        </w:tblPrEx>
        <w:trPr>
          <w:trHeight w:val="397" w:hRule="exact"/>
        </w:trPr>
        <w:tc>
          <w:tcPr>
            <w:tcW w:w="254" w:type="pct"/>
            <w:tcBorders>
              <w:top w:val="single" w:color="000000" w:sz="2" w:space="0"/>
              <w:left w:val="single" w:color="000000" w:sz="2" w:space="0"/>
              <w:bottom w:val="single" w:color="auto" w:sz="4"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32</w:t>
            </w:r>
          </w:p>
        </w:tc>
        <w:tc>
          <w:tcPr>
            <w:tcW w:w="508"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532"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1433" w:type="pct"/>
            <w:tcBorders>
              <w:top w:val="single" w:color="000000" w:sz="2" w:space="0"/>
              <w:left w:val="single" w:color="000000" w:sz="2" w:space="0"/>
              <w:bottom w:val="single" w:color="auto" w:sz="4" w:space="0"/>
              <w:right w:val="single" w:color="000000" w:sz="2" w:space="0"/>
            </w:tcBorders>
            <w:vAlign w:val="center"/>
          </w:tcPr>
          <w:p>
            <w:pPr>
              <w:pStyle w:val="29"/>
              <w:jc w:val="center"/>
              <w:rPr>
                <w:rFonts w:ascii="Times New Roman"/>
                <w:color w:val="auto"/>
              </w:rPr>
            </w:pPr>
            <w:r>
              <w:rPr>
                <w:rFonts w:hint="eastAsia" w:ascii="Times New Roman"/>
                <w:color w:val="auto"/>
              </w:rPr>
              <w:t>东疆东游憩用海区</w:t>
            </w:r>
          </w:p>
        </w:tc>
        <w:tc>
          <w:tcPr>
            <w:tcW w:w="566"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三类区</w:t>
            </w:r>
          </w:p>
        </w:tc>
        <w:tc>
          <w:tcPr>
            <w:tcW w:w="1707"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海滨风景旅游区</w:t>
            </w:r>
          </w:p>
        </w:tc>
      </w:tr>
      <w:tr>
        <w:tblPrEx>
          <w:tblCellMar>
            <w:top w:w="0" w:type="dxa"/>
            <w:left w:w="0" w:type="dxa"/>
            <w:bottom w:w="0" w:type="dxa"/>
            <w:right w:w="0" w:type="dxa"/>
          </w:tblCellMar>
        </w:tblPrEx>
        <w:trPr>
          <w:trHeight w:val="397" w:hRule="exact"/>
        </w:trPr>
        <w:tc>
          <w:tcPr>
            <w:tcW w:w="254" w:type="pct"/>
            <w:tcBorders>
              <w:top w:val="single" w:color="000000" w:sz="2" w:space="0"/>
              <w:left w:val="single" w:color="000000" w:sz="2" w:space="0"/>
              <w:bottom w:val="single" w:color="auto" w:sz="4"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33</w:t>
            </w:r>
          </w:p>
        </w:tc>
        <w:tc>
          <w:tcPr>
            <w:tcW w:w="508"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532" w:type="pct"/>
            <w:vMerge w:val="continue"/>
            <w:tcBorders>
              <w:left w:val="single" w:color="000000" w:sz="2" w:space="0"/>
              <w:bottom w:val="single" w:color="auto" w:sz="4"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1433" w:type="pct"/>
            <w:tcBorders>
              <w:top w:val="single" w:color="000000" w:sz="2" w:space="0"/>
              <w:left w:val="single" w:color="000000" w:sz="2" w:space="0"/>
              <w:bottom w:val="single" w:color="auto" w:sz="4" w:space="0"/>
              <w:right w:val="single" w:color="000000" w:sz="2" w:space="0"/>
            </w:tcBorders>
            <w:vAlign w:val="center"/>
          </w:tcPr>
          <w:p>
            <w:pPr>
              <w:pStyle w:val="29"/>
              <w:jc w:val="center"/>
              <w:rPr>
                <w:rFonts w:ascii="Times New Roman"/>
                <w:color w:val="auto"/>
              </w:rPr>
            </w:pPr>
            <w:r>
              <w:rPr>
                <w:rFonts w:hint="eastAsia" w:ascii="Times New Roman"/>
                <w:color w:val="auto"/>
              </w:rPr>
              <w:t>高沙岭游憩用海区</w:t>
            </w:r>
          </w:p>
        </w:tc>
        <w:tc>
          <w:tcPr>
            <w:tcW w:w="566"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三类区</w:t>
            </w:r>
          </w:p>
        </w:tc>
        <w:tc>
          <w:tcPr>
            <w:tcW w:w="1707"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海滨风景旅游区</w:t>
            </w:r>
          </w:p>
        </w:tc>
      </w:tr>
      <w:tr>
        <w:tblPrEx>
          <w:tblCellMar>
            <w:top w:w="0" w:type="dxa"/>
            <w:left w:w="0" w:type="dxa"/>
            <w:bottom w:w="0" w:type="dxa"/>
            <w:right w:w="0" w:type="dxa"/>
          </w:tblCellMar>
        </w:tblPrEx>
        <w:trPr>
          <w:trHeight w:val="397" w:hRule="exact"/>
        </w:trPr>
        <w:tc>
          <w:tcPr>
            <w:tcW w:w="254" w:type="pct"/>
            <w:tcBorders>
              <w:top w:val="single" w:color="000000" w:sz="2" w:space="0"/>
              <w:left w:val="single" w:color="000000" w:sz="2" w:space="0"/>
              <w:bottom w:val="single" w:color="auto" w:sz="4"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34</w:t>
            </w:r>
          </w:p>
        </w:tc>
        <w:tc>
          <w:tcPr>
            <w:tcW w:w="508"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532" w:type="pct"/>
            <w:vMerge w:val="restart"/>
            <w:tcBorders>
              <w:top w:val="single" w:color="000000" w:sz="2" w:space="0"/>
              <w:left w:val="single" w:color="000000" w:sz="2" w:space="0"/>
              <w:right w:val="single" w:color="000000" w:sz="2" w:space="0"/>
            </w:tcBorders>
            <w:shd w:val="clear" w:color="auto" w:fill="auto"/>
            <w:tcMar>
              <w:left w:w="72" w:type="dxa"/>
              <w:right w:w="72" w:type="dxa"/>
            </w:tcMar>
            <w:vAlign w:val="center"/>
          </w:tcPr>
          <w:p>
            <w:pPr>
              <w:pStyle w:val="29"/>
              <w:jc w:val="center"/>
              <w:rPr>
                <w:rFonts w:ascii="Times New Roman"/>
                <w:color w:val="auto"/>
              </w:rPr>
            </w:pPr>
            <w:r>
              <w:rPr>
                <w:rFonts w:hint="eastAsia" w:ascii="Times New Roman"/>
                <w:color w:val="auto"/>
              </w:rPr>
              <w:t>特殊用海区</w:t>
            </w:r>
          </w:p>
        </w:tc>
        <w:tc>
          <w:tcPr>
            <w:tcW w:w="1433" w:type="pct"/>
            <w:tcBorders>
              <w:top w:val="single" w:color="000000" w:sz="2" w:space="0"/>
              <w:left w:val="single" w:color="000000" w:sz="2" w:space="0"/>
              <w:bottom w:val="single" w:color="auto" w:sz="4" w:space="0"/>
              <w:right w:val="single" w:color="000000" w:sz="2" w:space="0"/>
            </w:tcBorders>
            <w:vAlign w:val="center"/>
          </w:tcPr>
          <w:p>
            <w:pPr>
              <w:pStyle w:val="29"/>
              <w:jc w:val="center"/>
              <w:rPr>
                <w:rFonts w:ascii="Times New Roman"/>
                <w:color w:val="auto"/>
              </w:rPr>
            </w:pPr>
            <w:r>
              <w:rPr>
                <w:rFonts w:hint="eastAsia" w:ascii="Times New Roman"/>
                <w:color w:val="auto"/>
              </w:rPr>
              <w:t>北部特殊用海区</w:t>
            </w:r>
          </w:p>
        </w:tc>
        <w:tc>
          <w:tcPr>
            <w:tcW w:w="566"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四类区</w:t>
            </w:r>
          </w:p>
        </w:tc>
        <w:tc>
          <w:tcPr>
            <w:tcW w:w="1707"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倾倒区</w:t>
            </w:r>
          </w:p>
        </w:tc>
      </w:tr>
      <w:tr>
        <w:tblPrEx>
          <w:tblCellMar>
            <w:top w:w="0" w:type="dxa"/>
            <w:left w:w="0" w:type="dxa"/>
            <w:bottom w:w="0" w:type="dxa"/>
            <w:right w:w="0" w:type="dxa"/>
          </w:tblCellMar>
        </w:tblPrEx>
        <w:trPr>
          <w:trHeight w:val="397" w:hRule="exact"/>
        </w:trPr>
        <w:tc>
          <w:tcPr>
            <w:tcW w:w="254" w:type="pct"/>
            <w:tcBorders>
              <w:top w:val="single" w:color="000000" w:sz="2" w:space="0"/>
              <w:left w:val="single" w:color="000000" w:sz="2" w:space="0"/>
              <w:bottom w:val="single" w:color="auto" w:sz="4"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35</w:t>
            </w:r>
          </w:p>
        </w:tc>
        <w:tc>
          <w:tcPr>
            <w:tcW w:w="508"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532" w:type="pct"/>
            <w:vMerge w:val="continue"/>
            <w:tcBorders>
              <w:left w:val="single" w:color="000000" w:sz="2" w:space="0"/>
              <w:right w:val="single" w:color="000000" w:sz="2" w:space="0"/>
            </w:tcBorders>
            <w:shd w:val="clear" w:color="auto" w:fill="auto"/>
            <w:tcMar>
              <w:left w:w="72" w:type="dxa"/>
              <w:right w:w="72" w:type="dxa"/>
            </w:tcMar>
            <w:vAlign w:val="center"/>
          </w:tcPr>
          <w:p>
            <w:pPr>
              <w:pStyle w:val="29"/>
              <w:jc w:val="center"/>
              <w:rPr>
                <w:rFonts w:ascii="Times New Roman"/>
                <w:color w:val="auto"/>
              </w:rPr>
            </w:pPr>
          </w:p>
        </w:tc>
        <w:tc>
          <w:tcPr>
            <w:tcW w:w="1433" w:type="pct"/>
            <w:tcBorders>
              <w:top w:val="single" w:color="000000" w:sz="2" w:space="0"/>
              <w:left w:val="single" w:color="000000" w:sz="2" w:space="0"/>
              <w:bottom w:val="single" w:color="auto" w:sz="4" w:space="0"/>
              <w:right w:val="single" w:color="000000" w:sz="2" w:space="0"/>
            </w:tcBorders>
            <w:vAlign w:val="center"/>
          </w:tcPr>
          <w:p>
            <w:pPr>
              <w:pStyle w:val="29"/>
              <w:jc w:val="center"/>
              <w:rPr>
                <w:rFonts w:ascii="Times New Roman"/>
                <w:color w:val="auto"/>
              </w:rPr>
            </w:pPr>
            <w:r>
              <w:rPr>
                <w:rFonts w:hint="eastAsia" w:ascii="Times New Roman"/>
                <w:color w:val="auto"/>
              </w:rPr>
              <w:t>中部特殊用海区</w:t>
            </w:r>
          </w:p>
        </w:tc>
        <w:tc>
          <w:tcPr>
            <w:tcW w:w="566"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四类区</w:t>
            </w:r>
          </w:p>
        </w:tc>
        <w:tc>
          <w:tcPr>
            <w:tcW w:w="1707"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倾倒区</w:t>
            </w:r>
          </w:p>
        </w:tc>
      </w:tr>
      <w:tr>
        <w:tblPrEx>
          <w:tblCellMar>
            <w:top w:w="0" w:type="dxa"/>
            <w:left w:w="0" w:type="dxa"/>
            <w:bottom w:w="0" w:type="dxa"/>
            <w:right w:w="0" w:type="dxa"/>
          </w:tblCellMar>
        </w:tblPrEx>
        <w:trPr>
          <w:trHeight w:val="397" w:hRule="exact"/>
        </w:trPr>
        <w:tc>
          <w:tcPr>
            <w:tcW w:w="254" w:type="pct"/>
            <w:tcBorders>
              <w:top w:val="single" w:color="000000" w:sz="2" w:space="0"/>
              <w:left w:val="single" w:color="000000" w:sz="2" w:space="0"/>
              <w:bottom w:val="single" w:color="auto" w:sz="4"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36</w:t>
            </w:r>
          </w:p>
        </w:tc>
        <w:tc>
          <w:tcPr>
            <w:tcW w:w="508"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532" w:type="pct"/>
            <w:vMerge w:val="continue"/>
            <w:tcBorders>
              <w:left w:val="single" w:color="000000" w:sz="2" w:space="0"/>
              <w:right w:val="single" w:color="000000" w:sz="2" w:space="0"/>
            </w:tcBorders>
            <w:shd w:val="clear" w:color="auto" w:fill="auto"/>
            <w:tcMar>
              <w:left w:w="72" w:type="dxa"/>
              <w:right w:w="72" w:type="dxa"/>
            </w:tcMar>
            <w:vAlign w:val="center"/>
          </w:tcPr>
          <w:p>
            <w:pPr>
              <w:pStyle w:val="29"/>
              <w:jc w:val="center"/>
              <w:rPr>
                <w:rFonts w:ascii="Times New Roman"/>
                <w:color w:val="auto"/>
              </w:rPr>
            </w:pPr>
          </w:p>
        </w:tc>
        <w:tc>
          <w:tcPr>
            <w:tcW w:w="1433" w:type="pct"/>
            <w:tcBorders>
              <w:top w:val="single" w:color="000000" w:sz="2" w:space="0"/>
              <w:left w:val="single" w:color="000000" w:sz="2" w:space="0"/>
              <w:bottom w:val="single" w:color="auto" w:sz="4" w:space="0"/>
              <w:right w:val="single" w:color="000000" w:sz="2" w:space="0"/>
            </w:tcBorders>
            <w:vAlign w:val="center"/>
          </w:tcPr>
          <w:p>
            <w:pPr>
              <w:pStyle w:val="29"/>
              <w:jc w:val="center"/>
              <w:rPr>
                <w:rFonts w:ascii="Times New Roman"/>
                <w:color w:val="auto"/>
              </w:rPr>
            </w:pPr>
            <w:r>
              <w:rPr>
                <w:rFonts w:hint="eastAsia" w:ascii="Times New Roman"/>
                <w:color w:val="auto"/>
              </w:rPr>
              <w:t>南部特殊用海区</w:t>
            </w:r>
          </w:p>
        </w:tc>
        <w:tc>
          <w:tcPr>
            <w:tcW w:w="566"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四类区</w:t>
            </w:r>
          </w:p>
        </w:tc>
        <w:tc>
          <w:tcPr>
            <w:tcW w:w="1707"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倾倒区</w:t>
            </w:r>
          </w:p>
        </w:tc>
      </w:tr>
      <w:tr>
        <w:tblPrEx>
          <w:tblCellMar>
            <w:top w:w="0" w:type="dxa"/>
            <w:left w:w="0" w:type="dxa"/>
            <w:bottom w:w="0" w:type="dxa"/>
            <w:right w:w="0" w:type="dxa"/>
          </w:tblCellMar>
        </w:tblPrEx>
        <w:trPr>
          <w:trHeight w:val="397" w:hRule="exact"/>
        </w:trPr>
        <w:tc>
          <w:tcPr>
            <w:tcW w:w="254" w:type="pct"/>
            <w:tcBorders>
              <w:top w:val="single" w:color="000000" w:sz="2" w:space="0"/>
              <w:left w:val="single" w:color="000000" w:sz="2" w:space="0"/>
              <w:bottom w:val="single" w:color="auto" w:sz="4"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37</w:t>
            </w:r>
          </w:p>
        </w:tc>
        <w:tc>
          <w:tcPr>
            <w:tcW w:w="508"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532" w:type="pct"/>
            <w:vMerge w:val="continue"/>
            <w:tcBorders>
              <w:left w:val="single" w:color="000000" w:sz="2" w:space="0"/>
              <w:bottom w:val="single" w:color="auto" w:sz="4" w:space="0"/>
              <w:right w:val="single" w:color="000000" w:sz="2" w:space="0"/>
            </w:tcBorders>
            <w:shd w:val="clear" w:color="auto" w:fill="auto"/>
            <w:tcMar>
              <w:left w:w="72" w:type="dxa"/>
              <w:right w:w="72" w:type="dxa"/>
            </w:tcMar>
            <w:vAlign w:val="center"/>
          </w:tcPr>
          <w:p>
            <w:pPr>
              <w:pStyle w:val="29"/>
              <w:jc w:val="center"/>
              <w:rPr>
                <w:rFonts w:ascii="Times New Roman"/>
                <w:color w:val="auto"/>
              </w:rPr>
            </w:pPr>
          </w:p>
        </w:tc>
        <w:tc>
          <w:tcPr>
            <w:tcW w:w="1433" w:type="pct"/>
            <w:tcBorders>
              <w:top w:val="single" w:color="000000" w:sz="2" w:space="0"/>
              <w:left w:val="single" w:color="000000" w:sz="2" w:space="0"/>
              <w:bottom w:val="single" w:color="auto" w:sz="4" w:space="0"/>
              <w:right w:val="single" w:color="000000" w:sz="2" w:space="0"/>
            </w:tcBorders>
            <w:vAlign w:val="center"/>
          </w:tcPr>
          <w:p>
            <w:pPr>
              <w:pStyle w:val="29"/>
              <w:jc w:val="center"/>
              <w:rPr>
                <w:rFonts w:ascii="Times New Roman"/>
                <w:color w:val="auto"/>
              </w:rPr>
            </w:pPr>
            <w:r>
              <w:rPr>
                <w:rFonts w:hint="eastAsia" w:ascii="Times New Roman"/>
                <w:color w:val="auto"/>
              </w:rPr>
              <w:t>大沽炮台特殊用海区</w:t>
            </w:r>
          </w:p>
        </w:tc>
        <w:tc>
          <w:tcPr>
            <w:tcW w:w="566"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w:t>
            </w:r>
          </w:p>
        </w:tc>
        <w:tc>
          <w:tcPr>
            <w:tcW w:w="1707"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军事用海区，不进行使用分类</w:t>
            </w:r>
          </w:p>
        </w:tc>
      </w:tr>
      <w:tr>
        <w:tblPrEx>
          <w:tblCellMar>
            <w:top w:w="0" w:type="dxa"/>
            <w:left w:w="0" w:type="dxa"/>
            <w:bottom w:w="0" w:type="dxa"/>
            <w:right w:w="0" w:type="dxa"/>
          </w:tblCellMar>
        </w:tblPrEx>
        <w:trPr>
          <w:trHeight w:val="756" w:hRule="exact"/>
        </w:trPr>
        <w:tc>
          <w:tcPr>
            <w:tcW w:w="254" w:type="pct"/>
            <w:tcBorders>
              <w:top w:val="single" w:color="000000" w:sz="2" w:space="0"/>
              <w:left w:val="single" w:color="000000" w:sz="2" w:space="0"/>
              <w:bottom w:val="single" w:color="auto" w:sz="4"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38</w:t>
            </w:r>
          </w:p>
        </w:tc>
        <w:tc>
          <w:tcPr>
            <w:tcW w:w="508"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532" w:type="pct"/>
            <w:vMerge w:val="restart"/>
            <w:tcBorders>
              <w:top w:val="single" w:color="000000" w:sz="2" w:space="0"/>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海洋预留区</w:t>
            </w:r>
          </w:p>
        </w:tc>
        <w:tc>
          <w:tcPr>
            <w:tcW w:w="1433" w:type="pct"/>
            <w:tcBorders>
              <w:top w:val="single" w:color="000000" w:sz="2" w:space="0"/>
              <w:left w:val="single" w:color="000000" w:sz="2" w:space="0"/>
              <w:bottom w:val="single" w:color="auto" w:sz="4" w:space="0"/>
              <w:right w:val="single" w:color="000000" w:sz="2" w:space="0"/>
            </w:tcBorders>
            <w:vAlign w:val="center"/>
          </w:tcPr>
          <w:p>
            <w:pPr>
              <w:pStyle w:val="29"/>
              <w:jc w:val="center"/>
              <w:rPr>
                <w:rFonts w:ascii="Times New Roman"/>
                <w:color w:val="auto"/>
              </w:rPr>
            </w:pPr>
            <w:r>
              <w:rPr>
                <w:rFonts w:hint="eastAsia" w:ascii="Times New Roman"/>
                <w:color w:val="auto"/>
              </w:rPr>
              <w:t>高沙岭东海洋预留区</w:t>
            </w:r>
          </w:p>
        </w:tc>
        <w:tc>
          <w:tcPr>
            <w:tcW w:w="566"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二类区</w:t>
            </w:r>
          </w:p>
        </w:tc>
        <w:tc>
          <w:tcPr>
            <w:tcW w:w="1707"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后备发展区，严禁随意开发</w:t>
            </w:r>
          </w:p>
        </w:tc>
      </w:tr>
      <w:tr>
        <w:tblPrEx>
          <w:tblCellMar>
            <w:top w:w="0" w:type="dxa"/>
            <w:left w:w="0" w:type="dxa"/>
            <w:bottom w:w="0" w:type="dxa"/>
            <w:right w:w="0" w:type="dxa"/>
          </w:tblCellMar>
        </w:tblPrEx>
        <w:trPr>
          <w:trHeight w:val="696" w:hRule="exact"/>
        </w:trPr>
        <w:tc>
          <w:tcPr>
            <w:tcW w:w="254" w:type="pct"/>
            <w:tcBorders>
              <w:top w:val="single" w:color="000000" w:sz="2" w:space="0"/>
              <w:left w:val="single" w:color="000000" w:sz="2" w:space="0"/>
              <w:bottom w:val="single" w:color="auto" w:sz="4"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39</w:t>
            </w:r>
          </w:p>
        </w:tc>
        <w:tc>
          <w:tcPr>
            <w:tcW w:w="508" w:type="pct"/>
            <w:vMerge w:val="continue"/>
            <w:tcBorders>
              <w:left w:val="single" w:color="000000" w:sz="2" w:space="0"/>
              <w:bottom w:val="single" w:color="auto" w:sz="4" w:space="0"/>
              <w:right w:val="single" w:color="000000" w:sz="2" w:space="0"/>
            </w:tcBorders>
            <w:shd w:val="clear" w:color="auto" w:fill="auto"/>
            <w:tcMar>
              <w:left w:w="72" w:type="dxa"/>
              <w:right w:w="72" w:type="dxa"/>
            </w:tcMar>
          </w:tcPr>
          <w:p>
            <w:pPr>
              <w:jc w:val="center"/>
              <w:rPr>
                <w:color w:val="auto"/>
                <w:sz w:val="24"/>
                <w:szCs w:val="24"/>
              </w:rPr>
            </w:pPr>
          </w:p>
        </w:tc>
        <w:tc>
          <w:tcPr>
            <w:tcW w:w="532" w:type="pct"/>
            <w:vMerge w:val="continue"/>
            <w:tcBorders>
              <w:left w:val="single" w:color="000000" w:sz="2" w:space="0"/>
              <w:bottom w:val="single" w:color="auto" w:sz="4" w:space="0"/>
              <w:right w:val="single" w:color="000000" w:sz="2" w:space="0"/>
            </w:tcBorders>
            <w:shd w:val="clear" w:color="auto" w:fill="auto"/>
            <w:tcMar>
              <w:left w:w="72" w:type="dxa"/>
              <w:right w:w="72" w:type="dxa"/>
            </w:tcMar>
          </w:tcPr>
          <w:p>
            <w:pPr>
              <w:jc w:val="center"/>
              <w:rPr>
                <w:color w:val="auto"/>
                <w:sz w:val="24"/>
                <w:szCs w:val="24"/>
              </w:rPr>
            </w:pPr>
          </w:p>
        </w:tc>
        <w:tc>
          <w:tcPr>
            <w:tcW w:w="1433" w:type="pct"/>
            <w:tcBorders>
              <w:top w:val="single" w:color="000000" w:sz="2" w:space="0"/>
              <w:left w:val="single" w:color="000000" w:sz="2" w:space="0"/>
              <w:bottom w:val="single" w:color="auto" w:sz="4" w:space="0"/>
              <w:right w:val="single" w:color="000000" w:sz="2" w:space="0"/>
            </w:tcBorders>
            <w:vAlign w:val="center"/>
          </w:tcPr>
          <w:p>
            <w:pPr>
              <w:pStyle w:val="29"/>
              <w:jc w:val="center"/>
              <w:rPr>
                <w:rFonts w:ascii="Times New Roman"/>
                <w:color w:val="auto"/>
              </w:rPr>
            </w:pPr>
            <w:r>
              <w:rPr>
                <w:rFonts w:hint="eastAsia" w:ascii="Times New Roman"/>
                <w:color w:val="auto"/>
              </w:rPr>
              <w:t>南港海洋预留区</w:t>
            </w:r>
          </w:p>
        </w:tc>
        <w:tc>
          <w:tcPr>
            <w:tcW w:w="566"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二类区</w:t>
            </w:r>
          </w:p>
        </w:tc>
        <w:tc>
          <w:tcPr>
            <w:tcW w:w="1707" w:type="pct"/>
            <w:tcBorders>
              <w:top w:val="single" w:color="000000" w:sz="2" w:space="0"/>
              <w:left w:val="single" w:color="000000" w:sz="2" w:space="0"/>
              <w:bottom w:val="single" w:color="auto" w:sz="4" w:space="0"/>
              <w:right w:val="single" w:color="000000" w:sz="2" w:space="0"/>
            </w:tcBorders>
            <w:vAlign w:val="center"/>
          </w:tcPr>
          <w:p>
            <w:pPr>
              <w:jc w:val="center"/>
              <w:rPr>
                <w:color w:val="auto"/>
                <w:sz w:val="24"/>
                <w:szCs w:val="24"/>
              </w:rPr>
            </w:pPr>
            <w:r>
              <w:rPr>
                <w:rFonts w:hint="eastAsia"/>
                <w:color w:val="auto"/>
                <w:sz w:val="24"/>
                <w:szCs w:val="24"/>
              </w:rPr>
              <w:t>后备发展区，严禁随意开发</w:t>
            </w:r>
          </w:p>
        </w:tc>
      </w:tr>
    </w:tbl>
    <w:p>
      <w:pPr>
        <w:spacing w:afterLines="50" w:line="360" w:lineRule="auto"/>
        <w:jc w:val="center"/>
        <w:rPr>
          <w:rFonts w:eastAsia="黑体"/>
          <w:color w:val="auto"/>
          <w:sz w:val="30"/>
          <w:szCs w:val="30"/>
        </w:rPr>
      </w:pPr>
      <w:r>
        <w:rPr>
          <w:rFonts w:hint="eastAsia" w:eastAsia="黑体"/>
          <w:color w:val="auto"/>
          <w:sz w:val="30"/>
          <w:szCs w:val="30"/>
        </w:rPr>
        <w:t>表5</w:t>
      </w:r>
      <w:r>
        <w:rPr>
          <w:rFonts w:eastAsia="黑体"/>
          <w:color w:val="auto"/>
          <w:sz w:val="30"/>
          <w:szCs w:val="30"/>
        </w:rPr>
        <w:t>.2-</w:t>
      </w:r>
      <w:r>
        <w:rPr>
          <w:rFonts w:hint="eastAsia" w:eastAsia="黑体"/>
          <w:color w:val="auto"/>
          <w:sz w:val="30"/>
          <w:szCs w:val="30"/>
        </w:rPr>
        <w:t>2</w:t>
      </w:r>
      <w:r>
        <w:rPr>
          <w:rFonts w:eastAsia="黑体"/>
          <w:color w:val="auto"/>
          <w:sz w:val="30"/>
          <w:szCs w:val="30"/>
        </w:rPr>
        <w:t xml:space="preserve"> </w:t>
      </w:r>
      <w:r>
        <w:rPr>
          <w:rFonts w:hint="eastAsia" w:eastAsia="黑体"/>
          <w:color w:val="auto"/>
          <w:sz w:val="30"/>
          <w:szCs w:val="30"/>
        </w:rPr>
        <w:t>近岸海域环境功能区与生态环境管控分区之间的对应表</w:t>
      </w:r>
    </w:p>
    <w:tbl>
      <w:tblPr>
        <w:tblStyle w:val="31"/>
        <w:tblW w:w="4998" w:type="pct"/>
        <w:tblInd w:w="0" w:type="dxa"/>
        <w:tblLayout w:type="autofit"/>
        <w:tblCellMar>
          <w:top w:w="0" w:type="dxa"/>
          <w:left w:w="0" w:type="dxa"/>
          <w:bottom w:w="0" w:type="dxa"/>
          <w:right w:w="0" w:type="dxa"/>
        </w:tblCellMar>
      </w:tblPr>
      <w:tblGrid>
        <w:gridCol w:w="2611"/>
        <w:gridCol w:w="3757"/>
        <w:gridCol w:w="7728"/>
      </w:tblGrid>
      <w:tr>
        <w:tblPrEx>
          <w:tblCellMar>
            <w:top w:w="0" w:type="dxa"/>
            <w:left w:w="0" w:type="dxa"/>
            <w:bottom w:w="0" w:type="dxa"/>
            <w:right w:w="0" w:type="dxa"/>
          </w:tblCellMar>
        </w:tblPrEx>
        <w:trPr>
          <w:trHeight w:val="567" w:hRule="exact"/>
        </w:trPr>
        <w:tc>
          <w:tcPr>
            <w:tcW w:w="926"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rPr>
            </w:pPr>
            <w:r>
              <w:rPr>
                <w:rFonts w:hint="eastAsia"/>
                <w:color w:val="auto"/>
                <w:sz w:val="24"/>
              </w:rPr>
              <w:t>管控区类型</w:t>
            </w:r>
          </w:p>
        </w:tc>
        <w:tc>
          <w:tcPr>
            <w:tcW w:w="1332"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rPr>
            </w:pPr>
            <w:r>
              <w:rPr>
                <w:rFonts w:hint="eastAsia"/>
                <w:color w:val="auto"/>
                <w:sz w:val="24"/>
              </w:rPr>
              <w:t>用海功能区</w:t>
            </w:r>
            <w:r>
              <w:rPr>
                <w:color w:val="auto"/>
                <w:sz w:val="24"/>
              </w:rPr>
              <w:t>类别</w:t>
            </w:r>
          </w:p>
        </w:tc>
        <w:tc>
          <w:tcPr>
            <w:tcW w:w="2740"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rPr>
            </w:pPr>
            <w:r>
              <w:rPr>
                <w:color w:val="auto"/>
                <w:sz w:val="24"/>
              </w:rPr>
              <w:t>生态环境分区管控要求</w:t>
            </w:r>
          </w:p>
        </w:tc>
      </w:tr>
      <w:tr>
        <w:tblPrEx>
          <w:tblCellMar>
            <w:top w:w="0" w:type="dxa"/>
            <w:left w:w="0" w:type="dxa"/>
            <w:bottom w:w="0" w:type="dxa"/>
            <w:right w:w="0" w:type="dxa"/>
          </w:tblCellMar>
        </w:tblPrEx>
        <w:trPr>
          <w:trHeight w:val="711" w:hRule="exact"/>
        </w:trPr>
        <w:tc>
          <w:tcPr>
            <w:tcW w:w="926"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rPr>
            </w:pPr>
            <w:r>
              <w:rPr>
                <w:rFonts w:hint="eastAsia"/>
                <w:color w:val="auto"/>
                <w:sz w:val="24"/>
              </w:rPr>
              <w:t>近岸海域优先保护区</w:t>
            </w:r>
          </w:p>
        </w:tc>
        <w:tc>
          <w:tcPr>
            <w:tcW w:w="1332"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rPr>
            </w:pPr>
            <w:r>
              <w:rPr>
                <w:color w:val="auto"/>
                <w:sz w:val="24"/>
              </w:rPr>
              <w:t>生态保护区</w:t>
            </w:r>
          </w:p>
        </w:tc>
        <w:tc>
          <w:tcPr>
            <w:tcW w:w="2740"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rPr>
            </w:pPr>
            <w:r>
              <w:rPr>
                <w:color w:val="auto"/>
                <w:sz w:val="24"/>
              </w:rPr>
              <w:t>将海洋生态保护红线、海上自然保护地、水产种质资源保护区等需要严格保护的海域作为近岸海域优先保护区。</w:t>
            </w:r>
          </w:p>
        </w:tc>
      </w:tr>
      <w:tr>
        <w:trPr>
          <w:trHeight w:val="397" w:hRule="exact"/>
        </w:trPr>
        <w:tc>
          <w:tcPr>
            <w:tcW w:w="926" w:type="pct"/>
            <w:vMerge w:val="restar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rPr>
            </w:pPr>
            <w:r>
              <w:rPr>
                <w:color w:val="auto"/>
                <w:sz w:val="24"/>
              </w:rPr>
              <w:t>近岸海域重点管控区</w:t>
            </w:r>
          </w:p>
        </w:tc>
        <w:tc>
          <w:tcPr>
            <w:tcW w:w="1332"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rPr>
            </w:pPr>
            <w:r>
              <w:rPr>
                <w:color w:val="auto"/>
                <w:sz w:val="24"/>
              </w:rPr>
              <w:t>工矿通信用海区</w:t>
            </w:r>
          </w:p>
        </w:tc>
        <w:tc>
          <w:tcPr>
            <w:tcW w:w="2740" w:type="pct"/>
            <w:vMerge w:val="restar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rPr>
            </w:pPr>
            <w:r>
              <w:rPr>
                <w:color w:val="auto"/>
                <w:sz w:val="24"/>
              </w:rPr>
              <w:t>将现有和规划的工矿通信用海、港口用海、排污倾倒用海、排污混合区等开发利用强度较高海域，以及水动力条件较差、水质超标、生态破坏较重和存在重大风险源的海域作为近岸海域重点管控区。</w:t>
            </w:r>
          </w:p>
        </w:tc>
      </w:tr>
      <w:tr>
        <w:tblPrEx>
          <w:tblCellMar>
            <w:top w:w="0" w:type="dxa"/>
            <w:left w:w="0" w:type="dxa"/>
            <w:bottom w:w="0" w:type="dxa"/>
            <w:right w:w="0" w:type="dxa"/>
          </w:tblCellMar>
        </w:tblPrEx>
        <w:trPr>
          <w:trHeight w:val="397" w:hRule="exact"/>
        </w:trPr>
        <w:tc>
          <w:tcPr>
            <w:tcW w:w="926" w:type="pct"/>
            <w:vMerge w:val="continue"/>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rPr>
            </w:pPr>
          </w:p>
        </w:tc>
        <w:tc>
          <w:tcPr>
            <w:tcW w:w="1332"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rPr>
            </w:pPr>
            <w:r>
              <w:rPr>
                <w:color w:val="auto"/>
                <w:sz w:val="24"/>
              </w:rPr>
              <w:t>交通运输用海区</w:t>
            </w:r>
          </w:p>
        </w:tc>
        <w:tc>
          <w:tcPr>
            <w:tcW w:w="2740" w:type="pct"/>
            <w:vMerge w:val="continue"/>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rPr>
            </w:pPr>
          </w:p>
        </w:tc>
      </w:tr>
      <w:tr>
        <w:tblPrEx>
          <w:tblCellMar>
            <w:top w:w="0" w:type="dxa"/>
            <w:left w:w="0" w:type="dxa"/>
            <w:bottom w:w="0" w:type="dxa"/>
            <w:right w:w="0" w:type="dxa"/>
          </w:tblCellMar>
        </w:tblPrEx>
        <w:trPr>
          <w:trHeight w:val="397" w:hRule="exact"/>
        </w:trPr>
        <w:tc>
          <w:tcPr>
            <w:tcW w:w="926" w:type="pct"/>
            <w:vMerge w:val="continue"/>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rPr>
            </w:pPr>
          </w:p>
        </w:tc>
        <w:tc>
          <w:tcPr>
            <w:tcW w:w="1332"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rPr>
            </w:pPr>
            <w:r>
              <w:rPr>
                <w:rFonts w:hint="eastAsia"/>
                <w:color w:val="auto"/>
                <w:sz w:val="24"/>
              </w:rPr>
              <w:t>特殊用海区中的</w:t>
            </w:r>
            <w:r>
              <w:rPr>
                <w:color w:val="auto"/>
                <w:sz w:val="24"/>
              </w:rPr>
              <w:t>海洋倾倒区</w:t>
            </w:r>
          </w:p>
        </w:tc>
        <w:tc>
          <w:tcPr>
            <w:tcW w:w="2740" w:type="pct"/>
            <w:vMerge w:val="continue"/>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rPr>
            </w:pPr>
          </w:p>
        </w:tc>
      </w:tr>
      <w:tr>
        <w:trPr>
          <w:trHeight w:val="397" w:hRule="exact"/>
        </w:trPr>
        <w:tc>
          <w:tcPr>
            <w:tcW w:w="926" w:type="pct"/>
            <w:vMerge w:val="continue"/>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rPr>
            </w:pPr>
          </w:p>
        </w:tc>
        <w:tc>
          <w:tcPr>
            <w:tcW w:w="1332"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rPr>
            </w:pPr>
            <w:r>
              <w:rPr>
                <w:color w:val="auto"/>
                <w:sz w:val="24"/>
              </w:rPr>
              <w:t>游憩用海区</w:t>
            </w:r>
          </w:p>
        </w:tc>
        <w:tc>
          <w:tcPr>
            <w:tcW w:w="2740" w:type="pct"/>
            <w:vMerge w:val="continue"/>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rPr>
            </w:pPr>
          </w:p>
        </w:tc>
      </w:tr>
      <w:tr>
        <w:tblPrEx>
          <w:tblCellMar>
            <w:top w:w="0" w:type="dxa"/>
            <w:left w:w="0" w:type="dxa"/>
            <w:bottom w:w="0" w:type="dxa"/>
            <w:right w:w="0" w:type="dxa"/>
          </w:tblCellMar>
        </w:tblPrEx>
        <w:trPr>
          <w:trHeight w:val="397" w:hRule="exact"/>
        </w:trPr>
        <w:tc>
          <w:tcPr>
            <w:tcW w:w="926" w:type="pct"/>
            <w:vMerge w:val="continue"/>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rPr>
            </w:pPr>
          </w:p>
        </w:tc>
        <w:tc>
          <w:tcPr>
            <w:tcW w:w="1332"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rPr>
            </w:pPr>
            <w:r>
              <w:rPr>
                <w:color w:val="auto"/>
                <w:sz w:val="24"/>
              </w:rPr>
              <w:t>渔业用海区</w:t>
            </w:r>
          </w:p>
        </w:tc>
        <w:tc>
          <w:tcPr>
            <w:tcW w:w="2740" w:type="pct"/>
            <w:vMerge w:val="continue"/>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rPr>
            </w:pPr>
          </w:p>
        </w:tc>
      </w:tr>
      <w:tr>
        <w:tblPrEx>
          <w:tblCellMar>
            <w:top w:w="0" w:type="dxa"/>
            <w:left w:w="0" w:type="dxa"/>
            <w:bottom w:w="0" w:type="dxa"/>
            <w:right w:w="0" w:type="dxa"/>
          </w:tblCellMar>
        </w:tblPrEx>
        <w:trPr>
          <w:trHeight w:val="397" w:hRule="exact"/>
        </w:trPr>
        <w:tc>
          <w:tcPr>
            <w:tcW w:w="926" w:type="pct"/>
            <w:vMerge w:val="restar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rPr>
            </w:pPr>
            <w:r>
              <w:rPr>
                <w:color w:val="auto"/>
                <w:sz w:val="24"/>
              </w:rPr>
              <w:t>近岸海域一般管控区</w:t>
            </w:r>
          </w:p>
        </w:tc>
        <w:tc>
          <w:tcPr>
            <w:tcW w:w="1332"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rPr>
            </w:pPr>
            <w:r>
              <w:rPr>
                <w:color w:val="auto"/>
                <w:sz w:val="24"/>
              </w:rPr>
              <w:t>生态控制区</w:t>
            </w:r>
          </w:p>
        </w:tc>
        <w:tc>
          <w:tcPr>
            <w:tcW w:w="2740" w:type="pct"/>
            <w:vMerge w:val="restar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rPr>
            </w:pPr>
            <w:r>
              <w:rPr>
                <w:color w:val="auto"/>
                <w:sz w:val="24"/>
              </w:rPr>
              <w:t>其余区域作为一般管控区。</w:t>
            </w:r>
          </w:p>
        </w:tc>
      </w:tr>
      <w:tr>
        <w:trPr>
          <w:trHeight w:val="397" w:hRule="exact"/>
        </w:trPr>
        <w:tc>
          <w:tcPr>
            <w:tcW w:w="926" w:type="pct"/>
            <w:vMerge w:val="continue"/>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rPr>
                <w:color w:val="auto"/>
                <w:sz w:val="24"/>
                <w:szCs w:val="24"/>
              </w:rPr>
            </w:pPr>
          </w:p>
        </w:tc>
        <w:tc>
          <w:tcPr>
            <w:tcW w:w="1332"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rPr>
            </w:pPr>
            <w:r>
              <w:rPr>
                <w:color w:val="auto"/>
                <w:sz w:val="24"/>
              </w:rPr>
              <w:t>海洋预留区</w:t>
            </w:r>
          </w:p>
        </w:tc>
        <w:tc>
          <w:tcPr>
            <w:tcW w:w="2740" w:type="pct"/>
            <w:vMerge w:val="continue"/>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rPr>
                <w:color w:val="auto"/>
                <w:sz w:val="24"/>
                <w:szCs w:val="24"/>
              </w:rPr>
            </w:pPr>
          </w:p>
        </w:tc>
      </w:tr>
      <w:tr>
        <w:tblPrEx>
          <w:tblCellMar>
            <w:top w:w="0" w:type="dxa"/>
            <w:left w:w="0" w:type="dxa"/>
            <w:bottom w:w="0" w:type="dxa"/>
            <w:right w:w="0" w:type="dxa"/>
          </w:tblCellMar>
        </w:tblPrEx>
        <w:trPr>
          <w:trHeight w:val="397" w:hRule="exact"/>
        </w:trPr>
        <w:tc>
          <w:tcPr>
            <w:tcW w:w="926" w:type="pct"/>
            <w:vMerge w:val="continue"/>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rPr>
                <w:color w:val="auto"/>
                <w:sz w:val="24"/>
                <w:szCs w:val="24"/>
              </w:rPr>
            </w:pPr>
          </w:p>
        </w:tc>
        <w:tc>
          <w:tcPr>
            <w:tcW w:w="1332"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rPr>
            </w:pPr>
            <w:r>
              <w:rPr>
                <w:color w:val="auto"/>
                <w:sz w:val="24"/>
              </w:rPr>
              <w:t>特殊用海区中的军事用海区</w:t>
            </w:r>
          </w:p>
        </w:tc>
        <w:tc>
          <w:tcPr>
            <w:tcW w:w="2740" w:type="pct"/>
            <w:vMerge w:val="continue"/>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rPr>
                <w:color w:val="auto"/>
                <w:sz w:val="24"/>
                <w:szCs w:val="24"/>
              </w:rPr>
            </w:pPr>
          </w:p>
        </w:tc>
      </w:tr>
      <w:tr>
        <w:tblPrEx>
          <w:tblCellMar>
            <w:top w:w="0" w:type="dxa"/>
            <w:left w:w="0" w:type="dxa"/>
            <w:bottom w:w="0" w:type="dxa"/>
            <w:right w:w="0" w:type="dxa"/>
          </w:tblCellMar>
        </w:tblPrEx>
        <w:trPr>
          <w:trHeight w:val="397" w:hRule="exact"/>
        </w:trPr>
        <w:tc>
          <w:tcPr>
            <w:tcW w:w="926" w:type="pct"/>
            <w:vMerge w:val="continue"/>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rPr>
                <w:color w:val="auto"/>
                <w:sz w:val="24"/>
                <w:szCs w:val="24"/>
              </w:rPr>
            </w:pPr>
          </w:p>
        </w:tc>
        <w:tc>
          <w:tcPr>
            <w:tcW w:w="1332"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rPr>
            </w:pPr>
            <w:r>
              <w:rPr>
                <w:rFonts w:hint="eastAsia"/>
                <w:color w:val="auto"/>
                <w:sz w:val="24"/>
              </w:rPr>
              <w:t>已建成的风电装、路桥等</w:t>
            </w:r>
          </w:p>
        </w:tc>
        <w:tc>
          <w:tcPr>
            <w:tcW w:w="2740" w:type="pct"/>
            <w:vMerge w:val="continue"/>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rPr>
                <w:color w:val="auto"/>
                <w:sz w:val="24"/>
                <w:szCs w:val="24"/>
              </w:rPr>
            </w:pPr>
          </w:p>
        </w:tc>
      </w:tr>
    </w:tbl>
    <w:p>
      <w:pPr>
        <w:spacing w:afterLines="100" w:line="360" w:lineRule="auto"/>
        <w:jc w:val="center"/>
        <w:rPr>
          <w:rFonts w:eastAsia="黑体"/>
          <w:color w:val="auto"/>
          <w:sz w:val="30"/>
          <w:szCs w:val="30"/>
        </w:rPr>
      </w:pPr>
      <w:r>
        <w:rPr>
          <w:rFonts w:hint="eastAsia" w:eastAsia="黑体"/>
          <w:color w:val="auto"/>
          <w:sz w:val="30"/>
          <w:szCs w:val="30"/>
        </w:rPr>
        <w:t>表5</w:t>
      </w:r>
      <w:r>
        <w:rPr>
          <w:rFonts w:eastAsia="黑体"/>
          <w:color w:val="auto"/>
          <w:sz w:val="30"/>
          <w:szCs w:val="30"/>
        </w:rPr>
        <w:t>.2-</w:t>
      </w:r>
      <w:r>
        <w:rPr>
          <w:rFonts w:hint="eastAsia" w:eastAsia="黑体"/>
          <w:color w:val="auto"/>
          <w:sz w:val="30"/>
          <w:szCs w:val="30"/>
        </w:rPr>
        <w:t>3</w:t>
      </w:r>
      <w:r>
        <w:rPr>
          <w:rFonts w:eastAsia="黑体"/>
          <w:color w:val="auto"/>
          <w:sz w:val="30"/>
          <w:szCs w:val="30"/>
        </w:rPr>
        <w:t xml:space="preserve"> </w:t>
      </w:r>
      <w:r>
        <w:rPr>
          <w:rFonts w:hint="eastAsia" w:eastAsia="黑体"/>
          <w:color w:val="auto"/>
          <w:sz w:val="30"/>
          <w:szCs w:val="30"/>
        </w:rPr>
        <w:t>近岸海域环境功能区与美丽海湾建设单元之间的对应表</w:t>
      </w:r>
    </w:p>
    <w:tbl>
      <w:tblPr>
        <w:tblStyle w:val="31"/>
        <w:tblW w:w="5000" w:type="pct"/>
        <w:tblInd w:w="0" w:type="dxa"/>
        <w:tblLayout w:type="autofit"/>
        <w:tblCellMar>
          <w:top w:w="0" w:type="dxa"/>
          <w:left w:w="0" w:type="dxa"/>
          <w:bottom w:w="0" w:type="dxa"/>
          <w:right w:w="0" w:type="dxa"/>
        </w:tblCellMar>
      </w:tblPr>
      <w:tblGrid>
        <w:gridCol w:w="1213"/>
        <w:gridCol w:w="3339"/>
        <w:gridCol w:w="9550"/>
      </w:tblGrid>
      <w:tr>
        <w:tblPrEx>
          <w:tblCellMar>
            <w:top w:w="0" w:type="dxa"/>
            <w:left w:w="0" w:type="dxa"/>
            <w:bottom w:w="0" w:type="dxa"/>
            <w:right w:w="0" w:type="dxa"/>
          </w:tblCellMar>
        </w:tblPrEx>
        <w:trPr>
          <w:trHeight w:val="340" w:hRule="exact"/>
        </w:trPr>
        <w:tc>
          <w:tcPr>
            <w:tcW w:w="430"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color w:val="auto"/>
                <w:sz w:val="24"/>
                <w:szCs w:val="24"/>
              </w:rPr>
              <w:t>序号</w:t>
            </w:r>
          </w:p>
        </w:tc>
        <w:tc>
          <w:tcPr>
            <w:tcW w:w="1184"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美丽海湾建设单元</w:t>
            </w:r>
          </w:p>
        </w:tc>
        <w:tc>
          <w:tcPr>
            <w:tcW w:w="3386"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color w:val="auto"/>
                <w:sz w:val="24"/>
                <w:szCs w:val="24"/>
              </w:rPr>
              <w:t>功能区名称</w:t>
            </w:r>
          </w:p>
        </w:tc>
      </w:tr>
      <w:tr>
        <w:tblPrEx>
          <w:tblCellMar>
            <w:top w:w="0" w:type="dxa"/>
            <w:left w:w="0" w:type="dxa"/>
            <w:bottom w:w="0" w:type="dxa"/>
            <w:right w:w="0" w:type="dxa"/>
          </w:tblCellMar>
        </w:tblPrEx>
        <w:trPr>
          <w:trHeight w:val="340" w:hRule="exact"/>
        </w:trPr>
        <w:tc>
          <w:tcPr>
            <w:tcW w:w="430"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color w:val="auto"/>
                <w:sz w:val="24"/>
                <w:szCs w:val="24"/>
              </w:rPr>
              <w:t>1</w:t>
            </w:r>
          </w:p>
        </w:tc>
        <w:tc>
          <w:tcPr>
            <w:tcW w:w="1184" w:type="pct"/>
            <w:vMerge w:val="restart"/>
            <w:tcBorders>
              <w:top w:val="single" w:color="000000" w:sz="2" w:space="0"/>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渤海湾生态城-寨上岸段</w:t>
            </w:r>
          </w:p>
        </w:tc>
        <w:tc>
          <w:tcPr>
            <w:tcW w:w="3386"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pStyle w:val="29"/>
              <w:jc w:val="center"/>
              <w:rPr>
                <w:rFonts w:ascii="Times New Roman"/>
                <w:color w:val="auto"/>
              </w:rPr>
            </w:pPr>
            <w:r>
              <w:rPr>
                <w:rFonts w:ascii="Times New Roman"/>
                <w:color w:val="auto"/>
              </w:rPr>
              <w:t>天津滨海国家海洋公园生态保护区</w:t>
            </w:r>
          </w:p>
        </w:tc>
      </w:tr>
      <w:tr>
        <w:trPr>
          <w:trHeight w:val="340" w:hRule="exact"/>
        </w:trPr>
        <w:tc>
          <w:tcPr>
            <w:tcW w:w="430"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color w:val="auto"/>
                <w:sz w:val="24"/>
                <w:szCs w:val="24"/>
              </w:rPr>
              <w:t>2</w:t>
            </w:r>
          </w:p>
        </w:tc>
        <w:tc>
          <w:tcPr>
            <w:tcW w:w="1184"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3386"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大神堂风电工矿通信用海区</w:t>
            </w:r>
          </w:p>
        </w:tc>
      </w:tr>
      <w:tr>
        <w:tblPrEx>
          <w:tblCellMar>
            <w:top w:w="0" w:type="dxa"/>
            <w:left w:w="0" w:type="dxa"/>
            <w:bottom w:w="0" w:type="dxa"/>
            <w:right w:w="0" w:type="dxa"/>
          </w:tblCellMar>
        </w:tblPrEx>
        <w:trPr>
          <w:trHeight w:val="340" w:hRule="exact"/>
        </w:trPr>
        <w:tc>
          <w:tcPr>
            <w:tcW w:w="430"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color w:val="auto"/>
                <w:sz w:val="24"/>
                <w:szCs w:val="24"/>
              </w:rPr>
              <w:t>3</w:t>
            </w:r>
          </w:p>
        </w:tc>
        <w:tc>
          <w:tcPr>
            <w:tcW w:w="1184"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3386"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大神堂交通运输用海区</w:t>
            </w:r>
          </w:p>
        </w:tc>
      </w:tr>
      <w:tr>
        <w:tblPrEx>
          <w:tblCellMar>
            <w:top w:w="0" w:type="dxa"/>
            <w:left w:w="0" w:type="dxa"/>
            <w:bottom w:w="0" w:type="dxa"/>
            <w:right w:w="0" w:type="dxa"/>
          </w:tblCellMar>
        </w:tblPrEx>
        <w:trPr>
          <w:trHeight w:val="340" w:hRule="exact"/>
        </w:trPr>
        <w:tc>
          <w:tcPr>
            <w:tcW w:w="430"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4</w:t>
            </w:r>
          </w:p>
        </w:tc>
        <w:tc>
          <w:tcPr>
            <w:tcW w:w="1184"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3386"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color w:val="auto"/>
                <w:sz w:val="24"/>
                <w:szCs w:val="24"/>
              </w:rPr>
              <w:t>长芦盐场工矿通信用海区</w:t>
            </w:r>
          </w:p>
        </w:tc>
      </w:tr>
      <w:tr>
        <w:trPr>
          <w:trHeight w:val="340" w:hRule="exact"/>
        </w:trPr>
        <w:tc>
          <w:tcPr>
            <w:tcW w:w="430"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5</w:t>
            </w:r>
          </w:p>
        </w:tc>
        <w:tc>
          <w:tcPr>
            <w:tcW w:w="1184"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3386"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color w:val="auto"/>
                <w:sz w:val="24"/>
                <w:szCs w:val="24"/>
              </w:rPr>
              <w:t>大神堂渔业用海区</w:t>
            </w:r>
          </w:p>
        </w:tc>
      </w:tr>
      <w:tr>
        <w:tblPrEx>
          <w:tblCellMar>
            <w:top w:w="0" w:type="dxa"/>
            <w:left w:w="0" w:type="dxa"/>
            <w:bottom w:w="0" w:type="dxa"/>
            <w:right w:w="0" w:type="dxa"/>
          </w:tblCellMar>
        </w:tblPrEx>
        <w:trPr>
          <w:trHeight w:val="340" w:hRule="exact"/>
        </w:trPr>
        <w:tc>
          <w:tcPr>
            <w:tcW w:w="430"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6</w:t>
            </w:r>
          </w:p>
        </w:tc>
        <w:tc>
          <w:tcPr>
            <w:tcW w:w="1184"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3386"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color w:val="auto"/>
                <w:sz w:val="24"/>
                <w:szCs w:val="24"/>
              </w:rPr>
              <w:t>北疆电厂工矿通信用海区</w:t>
            </w:r>
          </w:p>
        </w:tc>
      </w:tr>
      <w:tr>
        <w:tblPrEx>
          <w:tblCellMar>
            <w:top w:w="0" w:type="dxa"/>
            <w:left w:w="0" w:type="dxa"/>
            <w:bottom w:w="0" w:type="dxa"/>
            <w:right w:w="0" w:type="dxa"/>
          </w:tblCellMar>
        </w:tblPrEx>
        <w:trPr>
          <w:trHeight w:val="340" w:hRule="exact"/>
        </w:trPr>
        <w:tc>
          <w:tcPr>
            <w:tcW w:w="430"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7</w:t>
            </w:r>
          </w:p>
        </w:tc>
        <w:tc>
          <w:tcPr>
            <w:tcW w:w="1184"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3386"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color w:val="auto"/>
                <w:sz w:val="24"/>
                <w:szCs w:val="24"/>
              </w:rPr>
              <w:t>汉沽生态控制区</w:t>
            </w:r>
          </w:p>
        </w:tc>
      </w:tr>
      <w:tr>
        <w:trPr>
          <w:trHeight w:val="340" w:hRule="exact"/>
        </w:trPr>
        <w:tc>
          <w:tcPr>
            <w:tcW w:w="430"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8</w:t>
            </w:r>
          </w:p>
        </w:tc>
        <w:tc>
          <w:tcPr>
            <w:tcW w:w="1184"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3386"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color w:val="auto"/>
                <w:sz w:val="24"/>
                <w:szCs w:val="24"/>
              </w:rPr>
              <w:t>中心渔港</w:t>
            </w:r>
            <w:r>
              <w:rPr>
                <w:rFonts w:hint="eastAsia"/>
                <w:color w:val="auto"/>
                <w:sz w:val="24"/>
                <w:szCs w:val="24"/>
              </w:rPr>
              <w:t>北</w:t>
            </w:r>
            <w:r>
              <w:rPr>
                <w:color w:val="auto"/>
                <w:sz w:val="24"/>
                <w:szCs w:val="24"/>
              </w:rPr>
              <w:t>游憩用海区</w:t>
            </w:r>
          </w:p>
        </w:tc>
      </w:tr>
      <w:tr>
        <w:tblPrEx>
          <w:tblCellMar>
            <w:top w:w="0" w:type="dxa"/>
            <w:left w:w="0" w:type="dxa"/>
            <w:bottom w:w="0" w:type="dxa"/>
            <w:right w:w="0" w:type="dxa"/>
          </w:tblCellMar>
        </w:tblPrEx>
        <w:trPr>
          <w:trHeight w:val="340" w:hRule="exact"/>
        </w:trPr>
        <w:tc>
          <w:tcPr>
            <w:tcW w:w="430"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9</w:t>
            </w:r>
          </w:p>
        </w:tc>
        <w:tc>
          <w:tcPr>
            <w:tcW w:w="1184"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3386"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color w:val="auto"/>
                <w:sz w:val="24"/>
                <w:szCs w:val="24"/>
              </w:rPr>
              <w:t>中心渔港游憩用海区</w:t>
            </w:r>
          </w:p>
        </w:tc>
      </w:tr>
      <w:tr>
        <w:tblPrEx>
          <w:tblCellMar>
            <w:top w:w="0" w:type="dxa"/>
            <w:left w:w="0" w:type="dxa"/>
            <w:bottom w:w="0" w:type="dxa"/>
            <w:right w:w="0" w:type="dxa"/>
          </w:tblCellMar>
        </w:tblPrEx>
        <w:trPr>
          <w:trHeight w:val="340" w:hRule="exact"/>
        </w:trPr>
        <w:tc>
          <w:tcPr>
            <w:tcW w:w="430"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10</w:t>
            </w:r>
          </w:p>
        </w:tc>
        <w:tc>
          <w:tcPr>
            <w:tcW w:w="1184"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3386"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color w:val="auto"/>
                <w:sz w:val="24"/>
                <w:szCs w:val="24"/>
              </w:rPr>
              <w:t>中心渔港渔业用海区</w:t>
            </w:r>
          </w:p>
        </w:tc>
      </w:tr>
      <w:tr>
        <w:trPr>
          <w:trHeight w:val="340" w:hRule="exact"/>
        </w:trPr>
        <w:tc>
          <w:tcPr>
            <w:tcW w:w="430"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11</w:t>
            </w:r>
          </w:p>
        </w:tc>
        <w:tc>
          <w:tcPr>
            <w:tcW w:w="1184"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3386"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color w:val="auto"/>
                <w:sz w:val="24"/>
                <w:szCs w:val="24"/>
              </w:rPr>
              <w:t>汉沽浅海渔业用海区</w:t>
            </w:r>
          </w:p>
        </w:tc>
      </w:tr>
      <w:tr>
        <w:tblPrEx>
          <w:tblCellMar>
            <w:top w:w="0" w:type="dxa"/>
            <w:left w:w="0" w:type="dxa"/>
            <w:bottom w:w="0" w:type="dxa"/>
            <w:right w:w="0" w:type="dxa"/>
          </w:tblCellMar>
        </w:tblPrEx>
        <w:trPr>
          <w:trHeight w:val="340" w:hRule="exact"/>
        </w:trPr>
        <w:tc>
          <w:tcPr>
            <w:tcW w:w="430"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12</w:t>
            </w:r>
          </w:p>
        </w:tc>
        <w:tc>
          <w:tcPr>
            <w:tcW w:w="1184"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3386"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color w:val="auto"/>
                <w:sz w:val="24"/>
                <w:szCs w:val="24"/>
              </w:rPr>
              <w:t>汉沽重要渔业海域生态保护区</w:t>
            </w:r>
          </w:p>
        </w:tc>
      </w:tr>
      <w:tr>
        <w:tblPrEx>
          <w:tblCellMar>
            <w:top w:w="0" w:type="dxa"/>
            <w:left w:w="0" w:type="dxa"/>
            <w:bottom w:w="0" w:type="dxa"/>
            <w:right w:w="0" w:type="dxa"/>
          </w:tblCellMar>
        </w:tblPrEx>
        <w:trPr>
          <w:trHeight w:val="340" w:hRule="exact"/>
        </w:trPr>
        <w:tc>
          <w:tcPr>
            <w:tcW w:w="430"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13</w:t>
            </w:r>
          </w:p>
        </w:tc>
        <w:tc>
          <w:tcPr>
            <w:tcW w:w="1184"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3386"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color w:val="auto"/>
                <w:sz w:val="24"/>
                <w:szCs w:val="24"/>
              </w:rPr>
              <w:t>航母主题公园游憩用海区</w:t>
            </w:r>
          </w:p>
        </w:tc>
      </w:tr>
      <w:tr>
        <w:trPr>
          <w:trHeight w:val="340" w:hRule="exact"/>
        </w:trPr>
        <w:tc>
          <w:tcPr>
            <w:tcW w:w="430"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14</w:t>
            </w:r>
          </w:p>
        </w:tc>
        <w:tc>
          <w:tcPr>
            <w:tcW w:w="1184"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3386"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color w:val="auto"/>
                <w:sz w:val="24"/>
                <w:szCs w:val="24"/>
              </w:rPr>
              <w:t>临海新城生态控制区</w:t>
            </w:r>
          </w:p>
        </w:tc>
      </w:tr>
      <w:tr>
        <w:tblPrEx>
          <w:tblCellMar>
            <w:top w:w="0" w:type="dxa"/>
            <w:left w:w="0" w:type="dxa"/>
            <w:bottom w:w="0" w:type="dxa"/>
            <w:right w:w="0" w:type="dxa"/>
          </w:tblCellMar>
        </w:tblPrEx>
        <w:trPr>
          <w:trHeight w:val="340" w:hRule="exact"/>
        </w:trPr>
        <w:tc>
          <w:tcPr>
            <w:tcW w:w="430"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15</w:t>
            </w:r>
          </w:p>
        </w:tc>
        <w:tc>
          <w:tcPr>
            <w:tcW w:w="1184"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3386"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color w:val="auto"/>
                <w:sz w:val="24"/>
                <w:szCs w:val="24"/>
              </w:rPr>
              <w:t>临海新城游憩用海区</w:t>
            </w:r>
          </w:p>
        </w:tc>
      </w:tr>
      <w:tr>
        <w:tblPrEx>
          <w:tblCellMar>
            <w:top w:w="0" w:type="dxa"/>
            <w:left w:w="0" w:type="dxa"/>
            <w:bottom w:w="0" w:type="dxa"/>
            <w:right w:w="0" w:type="dxa"/>
          </w:tblCellMar>
        </w:tblPrEx>
        <w:trPr>
          <w:trHeight w:val="340" w:hRule="exact"/>
        </w:trPr>
        <w:tc>
          <w:tcPr>
            <w:tcW w:w="430"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16</w:t>
            </w:r>
          </w:p>
        </w:tc>
        <w:tc>
          <w:tcPr>
            <w:tcW w:w="1184"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3386"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color w:val="auto"/>
                <w:sz w:val="24"/>
                <w:szCs w:val="24"/>
              </w:rPr>
              <w:t>天津古海岸与湿地国家级自然保护区生态保护区</w:t>
            </w:r>
          </w:p>
        </w:tc>
      </w:tr>
      <w:tr>
        <w:trPr>
          <w:trHeight w:val="340" w:hRule="exact"/>
        </w:trPr>
        <w:tc>
          <w:tcPr>
            <w:tcW w:w="430"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17</w:t>
            </w:r>
          </w:p>
        </w:tc>
        <w:tc>
          <w:tcPr>
            <w:tcW w:w="1184" w:type="pct"/>
            <w:vMerge w:val="continue"/>
            <w:tcBorders>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3386"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color w:val="auto"/>
                <w:sz w:val="24"/>
                <w:szCs w:val="24"/>
              </w:rPr>
              <w:t>贝壳堤生态控制区</w:t>
            </w:r>
          </w:p>
        </w:tc>
      </w:tr>
      <w:tr>
        <w:tblPrEx>
          <w:tblCellMar>
            <w:top w:w="0" w:type="dxa"/>
            <w:left w:w="0" w:type="dxa"/>
            <w:bottom w:w="0" w:type="dxa"/>
            <w:right w:w="0" w:type="dxa"/>
          </w:tblCellMar>
        </w:tblPrEx>
        <w:trPr>
          <w:trHeight w:val="340" w:hRule="exact"/>
        </w:trPr>
        <w:tc>
          <w:tcPr>
            <w:tcW w:w="430"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18</w:t>
            </w:r>
          </w:p>
        </w:tc>
        <w:tc>
          <w:tcPr>
            <w:tcW w:w="1184" w:type="pct"/>
            <w:vMerge w:val="restart"/>
            <w:tcBorders>
              <w:top w:val="single" w:color="000000" w:sz="2" w:space="0"/>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渤海湾天津港岸段</w:t>
            </w:r>
          </w:p>
        </w:tc>
        <w:tc>
          <w:tcPr>
            <w:tcW w:w="3386"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pStyle w:val="29"/>
              <w:jc w:val="center"/>
              <w:rPr>
                <w:rFonts w:ascii="Times New Roman"/>
                <w:color w:val="auto"/>
              </w:rPr>
            </w:pPr>
            <w:r>
              <w:rPr>
                <w:rFonts w:ascii="Times New Roman"/>
                <w:color w:val="auto"/>
              </w:rPr>
              <w:t>北塘旅游休闲娱乐区生态保护区</w:t>
            </w:r>
          </w:p>
        </w:tc>
      </w:tr>
      <w:tr>
        <w:tblPrEx>
          <w:tblCellMar>
            <w:top w:w="0" w:type="dxa"/>
            <w:left w:w="0" w:type="dxa"/>
            <w:bottom w:w="0" w:type="dxa"/>
            <w:right w:w="0" w:type="dxa"/>
          </w:tblCellMar>
        </w:tblPrEx>
        <w:trPr>
          <w:trHeight w:val="340" w:hRule="exact"/>
        </w:trPr>
        <w:tc>
          <w:tcPr>
            <w:tcW w:w="430"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19</w:t>
            </w:r>
          </w:p>
        </w:tc>
        <w:tc>
          <w:tcPr>
            <w:tcW w:w="1184"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3386"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pStyle w:val="29"/>
              <w:jc w:val="center"/>
              <w:rPr>
                <w:rFonts w:ascii="Times New Roman"/>
                <w:color w:val="auto"/>
              </w:rPr>
            </w:pPr>
            <w:r>
              <w:rPr>
                <w:rFonts w:hint="eastAsia" w:ascii="Times New Roman"/>
                <w:color w:val="auto"/>
              </w:rPr>
              <w:t>东疆东游憩用海区</w:t>
            </w:r>
          </w:p>
        </w:tc>
      </w:tr>
      <w:tr>
        <w:trPr>
          <w:trHeight w:val="340" w:hRule="exact"/>
        </w:trPr>
        <w:tc>
          <w:tcPr>
            <w:tcW w:w="430"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20</w:t>
            </w:r>
          </w:p>
        </w:tc>
        <w:tc>
          <w:tcPr>
            <w:tcW w:w="1184"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3386"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pStyle w:val="29"/>
              <w:jc w:val="center"/>
              <w:rPr>
                <w:rFonts w:ascii="Times New Roman"/>
                <w:color w:val="auto"/>
              </w:rPr>
            </w:pPr>
            <w:r>
              <w:rPr>
                <w:rFonts w:hint="eastAsia" w:ascii="Times New Roman"/>
                <w:color w:val="auto"/>
              </w:rPr>
              <w:t>中部特殊用海区</w:t>
            </w:r>
          </w:p>
        </w:tc>
      </w:tr>
      <w:tr>
        <w:tblPrEx>
          <w:tblCellMar>
            <w:top w:w="0" w:type="dxa"/>
            <w:left w:w="0" w:type="dxa"/>
            <w:bottom w:w="0" w:type="dxa"/>
            <w:right w:w="0" w:type="dxa"/>
          </w:tblCellMar>
        </w:tblPrEx>
        <w:trPr>
          <w:trHeight w:val="340" w:hRule="exact"/>
        </w:trPr>
        <w:tc>
          <w:tcPr>
            <w:tcW w:w="430"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21</w:t>
            </w:r>
          </w:p>
        </w:tc>
        <w:tc>
          <w:tcPr>
            <w:tcW w:w="1184" w:type="pct"/>
            <w:vMerge w:val="continue"/>
            <w:tcBorders>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3386"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pStyle w:val="29"/>
              <w:jc w:val="center"/>
              <w:rPr>
                <w:rFonts w:ascii="Times New Roman"/>
                <w:color w:val="auto"/>
              </w:rPr>
            </w:pPr>
            <w:r>
              <w:rPr>
                <w:rFonts w:ascii="Times New Roman"/>
                <w:color w:val="auto"/>
              </w:rPr>
              <w:t>天津港北港</w:t>
            </w:r>
            <w:r>
              <w:rPr>
                <w:rFonts w:hint="eastAsia" w:ascii="Times New Roman"/>
                <w:color w:val="auto"/>
              </w:rPr>
              <w:t>交通运输</w:t>
            </w:r>
            <w:r>
              <w:rPr>
                <w:rFonts w:ascii="Times New Roman"/>
                <w:color w:val="auto"/>
              </w:rPr>
              <w:t>用海区</w:t>
            </w:r>
          </w:p>
        </w:tc>
      </w:tr>
      <w:tr>
        <w:tblPrEx>
          <w:tblCellMar>
            <w:top w:w="0" w:type="dxa"/>
            <w:left w:w="0" w:type="dxa"/>
            <w:bottom w:w="0" w:type="dxa"/>
            <w:right w:w="0" w:type="dxa"/>
          </w:tblCellMar>
        </w:tblPrEx>
        <w:trPr>
          <w:trHeight w:val="340" w:hRule="exact"/>
        </w:trPr>
        <w:tc>
          <w:tcPr>
            <w:tcW w:w="430"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22</w:t>
            </w:r>
          </w:p>
        </w:tc>
        <w:tc>
          <w:tcPr>
            <w:tcW w:w="1184" w:type="pct"/>
            <w:vMerge w:val="restart"/>
            <w:tcBorders>
              <w:top w:val="single" w:color="000000" w:sz="2" w:space="0"/>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渤海湾临港岸段</w:t>
            </w:r>
          </w:p>
        </w:tc>
        <w:tc>
          <w:tcPr>
            <w:tcW w:w="3386"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pStyle w:val="29"/>
              <w:jc w:val="center"/>
              <w:rPr>
                <w:rFonts w:ascii="Times New Roman"/>
                <w:color w:val="auto"/>
              </w:rPr>
            </w:pPr>
            <w:r>
              <w:rPr>
                <w:rFonts w:ascii="Times New Roman"/>
                <w:color w:val="auto"/>
              </w:rPr>
              <w:t>天津港北港</w:t>
            </w:r>
            <w:r>
              <w:rPr>
                <w:rFonts w:hint="eastAsia" w:ascii="Times New Roman"/>
                <w:color w:val="auto"/>
              </w:rPr>
              <w:t>交通运输</w:t>
            </w:r>
            <w:r>
              <w:rPr>
                <w:rFonts w:ascii="Times New Roman"/>
                <w:color w:val="auto"/>
              </w:rPr>
              <w:t>用海区</w:t>
            </w:r>
          </w:p>
        </w:tc>
      </w:tr>
      <w:tr>
        <w:trPr>
          <w:trHeight w:val="340" w:hRule="exact"/>
        </w:trPr>
        <w:tc>
          <w:tcPr>
            <w:tcW w:w="430"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23</w:t>
            </w:r>
          </w:p>
        </w:tc>
        <w:tc>
          <w:tcPr>
            <w:tcW w:w="1184"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3386"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pStyle w:val="29"/>
              <w:jc w:val="center"/>
              <w:rPr>
                <w:rFonts w:ascii="Times New Roman"/>
                <w:color w:val="auto"/>
              </w:rPr>
            </w:pPr>
            <w:r>
              <w:rPr>
                <w:rFonts w:ascii="Times New Roman"/>
                <w:color w:val="auto"/>
              </w:rPr>
              <w:t>大沽炮台特殊用海区</w:t>
            </w:r>
          </w:p>
        </w:tc>
      </w:tr>
      <w:tr>
        <w:tblPrEx>
          <w:tblCellMar>
            <w:top w:w="0" w:type="dxa"/>
            <w:left w:w="0" w:type="dxa"/>
            <w:bottom w:w="0" w:type="dxa"/>
            <w:right w:w="0" w:type="dxa"/>
          </w:tblCellMar>
        </w:tblPrEx>
        <w:trPr>
          <w:trHeight w:val="340" w:hRule="exact"/>
        </w:trPr>
        <w:tc>
          <w:tcPr>
            <w:tcW w:w="430"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24</w:t>
            </w:r>
          </w:p>
        </w:tc>
        <w:tc>
          <w:tcPr>
            <w:tcW w:w="1184"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3386"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pStyle w:val="29"/>
              <w:jc w:val="center"/>
              <w:rPr>
                <w:rFonts w:ascii="Times New Roman"/>
                <w:color w:val="auto"/>
              </w:rPr>
            </w:pPr>
            <w:r>
              <w:rPr>
                <w:rFonts w:hint="eastAsia" w:ascii="Times New Roman"/>
                <w:color w:val="auto"/>
              </w:rPr>
              <w:t>临港北工矿通信用海区</w:t>
            </w:r>
          </w:p>
        </w:tc>
      </w:tr>
      <w:tr>
        <w:tblPrEx>
          <w:tblCellMar>
            <w:top w:w="0" w:type="dxa"/>
            <w:left w:w="0" w:type="dxa"/>
            <w:bottom w:w="0" w:type="dxa"/>
            <w:right w:w="0" w:type="dxa"/>
          </w:tblCellMar>
        </w:tblPrEx>
        <w:trPr>
          <w:trHeight w:val="340" w:hRule="exact"/>
        </w:trPr>
        <w:tc>
          <w:tcPr>
            <w:tcW w:w="430"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25</w:t>
            </w:r>
          </w:p>
        </w:tc>
        <w:tc>
          <w:tcPr>
            <w:tcW w:w="1184"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3386"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pStyle w:val="29"/>
              <w:jc w:val="center"/>
              <w:rPr>
                <w:rFonts w:ascii="Times New Roman"/>
                <w:color w:val="auto"/>
              </w:rPr>
            </w:pPr>
            <w:r>
              <w:rPr>
                <w:rFonts w:hint="eastAsia" w:ascii="Times New Roman"/>
                <w:color w:val="auto"/>
              </w:rPr>
              <w:t>临港南工矿通信用海区</w:t>
            </w:r>
          </w:p>
        </w:tc>
      </w:tr>
      <w:tr>
        <w:trPr>
          <w:trHeight w:val="340" w:hRule="exact"/>
        </w:trPr>
        <w:tc>
          <w:tcPr>
            <w:tcW w:w="430"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26</w:t>
            </w:r>
          </w:p>
        </w:tc>
        <w:tc>
          <w:tcPr>
            <w:tcW w:w="1184"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3386"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pStyle w:val="29"/>
              <w:jc w:val="center"/>
              <w:rPr>
                <w:rFonts w:ascii="Times New Roman"/>
                <w:color w:val="auto"/>
              </w:rPr>
            </w:pPr>
            <w:r>
              <w:rPr>
                <w:rFonts w:ascii="Times New Roman"/>
                <w:color w:val="auto"/>
              </w:rPr>
              <w:t>高沙岭游憩用海区</w:t>
            </w:r>
          </w:p>
        </w:tc>
      </w:tr>
      <w:tr>
        <w:tblPrEx>
          <w:tblCellMar>
            <w:top w:w="0" w:type="dxa"/>
            <w:left w:w="0" w:type="dxa"/>
            <w:bottom w:w="0" w:type="dxa"/>
            <w:right w:w="0" w:type="dxa"/>
          </w:tblCellMar>
        </w:tblPrEx>
        <w:trPr>
          <w:trHeight w:val="340" w:hRule="exact"/>
        </w:trPr>
        <w:tc>
          <w:tcPr>
            <w:tcW w:w="430"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27</w:t>
            </w:r>
          </w:p>
        </w:tc>
        <w:tc>
          <w:tcPr>
            <w:tcW w:w="1184"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3386"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pStyle w:val="29"/>
              <w:jc w:val="center"/>
              <w:rPr>
                <w:rFonts w:ascii="Times New Roman"/>
                <w:color w:val="auto"/>
              </w:rPr>
            </w:pPr>
            <w:r>
              <w:rPr>
                <w:rFonts w:ascii="Times New Roman"/>
                <w:color w:val="auto"/>
              </w:rPr>
              <w:t>高沙岭生态控制区</w:t>
            </w:r>
          </w:p>
        </w:tc>
      </w:tr>
      <w:tr>
        <w:tblPrEx>
          <w:tblCellMar>
            <w:top w:w="0" w:type="dxa"/>
            <w:left w:w="0" w:type="dxa"/>
            <w:bottom w:w="0" w:type="dxa"/>
            <w:right w:w="0" w:type="dxa"/>
          </w:tblCellMar>
        </w:tblPrEx>
        <w:trPr>
          <w:trHeight w:val="340" w:hRule="exact"/>
        </w:trPr>
        <w:tc>
          <w:tcPr>
            <w:tcW w:w="430"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28</w:t>
            </w:r>
          </w:p>
        </w:tc>
        <w:tc>
          <w:tcPr>
            <w:tcW w:w="1184" w:type="pct"/>
            <w:vMerge w:val="continue"/>
            <w:tcBorders>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3386"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pStyle w:val="29"/>
              <w:jc w:val="center"/>
              <w:rPr>
                <w:rFonts w:ascii="Times New Roman"/>
                <w:color w:val="auto"/>
              </w:rPr>
            </w:pPr>
            <w:r>
              <w:rPr>
                <w:rFonts w:ascii="Times New Roman"/>
                <w:color w:val="auto"/>
              </w:rPr>
              <w:t>高沙岭</w:t>
            </w:r>
            <w:r>
              <w:rPr>
                <w:rFonts w:hint="eastAsia" w:ascii="Times New Roman"/>
                <w:color w:val="auto"/>
              </w:rPr>
              <w:t>海洋预留</w:t>
            </w:r>
            <w:r>
              <w:rPr>
                <w:rFonts w:ascii="Times New Roman"/>
                <w:color w:val="auto"/>
              </w:rPr>
              <w:t>区</w:t>
            </w:r>
          </w:p>
        </w:tc>
      </w:tr>
      <w:tr>
        <w:trPr>
          <w:trHeight w:val="340" w:hRule="exact"/>
        </w:trPr>
        <w:tc>
          <w:tcPr>
            <w:tcW w:w="430"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29</w:t>
            </w:r>
          </w:p>
        </w:tc>
        <w:tc>
          <w:tcPr>
            <w:tcW w:w="1184" w:type="pct"/>
            <w:vMerge w:val="restart"/>
            <w:tcBorders>
              <w:top w:val="single" w:color="000000" w:sz="2" w:space="0"/>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渤海湾南港岸段</w:t>
            </w:r>
          </w:p>
        </w:tc>
        <w:tc>
          <w:tcPr>
            <w:tcW w:w="3386"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pStyle w:val="29"/>
              <w:jc w:val="center"/>
              <w:rPr>
                <w:rFonts w:ascii="Times New Roman"/>
                <w:color w:val="auto"/>
              </w:rPr>
            </w:pPr>
            <w:r>
              <w:rPr>
                <w:rFonts w:ascii="Times New Roman"/>
                <w:color w:val="auto"/>
              </w:rPr>
              <w:t>天津港南港</w:t>
            </w:r>
            <w:r>
              <w:rPr>
                <w:rFonts w:hint="eastAsia" w:ascii="Times New Roman"/>
                <w:color w:val="auto"/>
              </w:rPr>
              <w:t>交通运输</w:t>
            </w:r>
            <w:r>
              <w:rPr>
                <w:rFonts w:ascii="Times New Roman"/>
                <w:color w:val="auto"/>
              </w:rPr>
              <w:t>用海区</w:t>
            </w:r>
          </w:p>
        </w:tc>
      </w:tr>
      <w:tr>
        <w:tblPrEx>
          <w:tblCellMar>
            <w:top w:w="0" w:type="dxa"/>
            <w:left w:w="0" w:type="dxa"/>
            <w:bottom w:w="0" w:type="dxa"/>
            <w:right w:w="0" w:type="dxa"/>
          </w:tblCellMar>
        </w:tblPrEx>
        <w:trPr>
          <w:trHeight w:val="340" w:hRule="exact"/>
        </w:trPr>
        <w:tc>
          <w:tcPr>
            <w:tcW w:w="430"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30</w:t>
            </w:r>
          </w:p>
        </w:tc>
        <w:tc>
          <w:tcPr>
            <w:tcW w:w="1184"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3386"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pStyle w:val="29"/>
              <w:jc w:val="center"/>
              <w:rPr>
                <w:rFonts w:ascii="Times New Roman"/>
                <w:color w:val="auto"/>
              </w:rPr>
            </w:pPr>
            <w:r>
              <w:rPr>
                <w:rFonts w:ascii="Times New Roman"/>
                <w:color w:val="auto"/>
              </w:rPr>
              <w:t>南港外海洋牧场渔业用海区</w:t>
            </w:r>
          </w:p>
        </w:tc>
      </w:tr>
      <w:tr>
        <w:tblPrEx>
          <w:tblCellMar>
            <w:top w:w="0" w:type="dxa"/>
            <w:left w:w="0" w:type="dxa"/>
            <w:bottom w:w="0" w:type="dxa"/>
            <w:right w:w="0" w:type="dxa"/>
          </w:tblCellMar>
        </w:tblPrEx>
        <w:trPr>
          <w:trHeight w:val="340" w:hRule="exact"/>
        </w:trPr>
        <w:tc>
          <w:tcPr>
            <w:tcW w:w="430"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31</w:t>
            </w:r>
          </w:p>
        </w:tc>
        <w:tc>
          <w:tcPr>
            <w:tcW w:w="1184"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3386"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pStyle w:val="29"/>
              <w:jc w:val="center"/>
              <w:rPr>
                <w:rFonts w:ascii="Times New Roman"/>
                <w:color w:val="auto"/>
              </w:rPr>
            </w:pPr>
            <w:r>
              <w:rPr>
                <w:rFonts w:ascii="Times New Roman"/>
                <w:color w:val="auto"/>
              </w:rPr>
              <w:t>南港海洋预留区</w:t>
            </w:r>
          </w:p>
        </w:tc>
      </w:tr>
      <w:tr>
        <w:trPr>
          <w:trHeight w:val="340" w:hRule="exact"/>
        </w:trPr>
        <w:tc>
          <w:tcPr>
            <w:tcW w:w="430"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32</w:t>
            </w:r>
          </w:p>
        </w:tc>
        <w:tc>
          <w:tcPr>
            <w:tcW w:w="1184"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3386"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pStyle w:val="29"/>
              <w:jc w:val="center"/>
              <w:rPr>
                <w:rFonts w:ascii="Times New Roman"/>
                <w:color w:val="auto"/>
              </w:rPr>
            </w:pPr>
            <w:r>
              <w:rPr>
                <w:rFonts w:hint="eastAsia" w:ascii="Times New Roman"/>
                <w:color w:val="auto"/>
              </w:rPr>
              <w:t>南港东工矿通信用海区</w:t>
            </w:r>
          </w:p>
        </w:tc>
      </w:tr>
      <w:tr>
        <w:tblPrEx>
          <w:tblCellMar>
            <w:top w:w="0" w:type="dxa"/>
            <w:left w:w="0" w:type="dxa"/>
            <w:bottom w:w="0" w:type="dxa"/>
            <w:right w:w="0" w:type="dxa"/>
          </w:tblCellMar>
        </w:tblPrEx>
        <w:trPr>
          <w:trHeight w:val="340" w:hRule="exact"/>
        </w:trPr>
        <w:tc>
          <w:tcPr>
            <w:tcW w:w="430"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33</w:t>
            </w:r>
          </w:p>
        </w:tc>
        <w:tc>
          <w:tcPr>
            <w:tcW w:w="1184"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3386"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pStyle w:val="29"/>
              <w:jc w:val="center"/>
              <w:rPr>
                <w:rFonts w:ascii="Times New Roman"/>
                <w:color w:val="auto"/>
              </w:rPr>
            </w:pPr>
            <w:r>
              <w:rPr>
                <w:rFonts w:ascii="Times New Roman"/>
                <w:color w:val="auto"/>
              </w:rPr>
              <w:t>南港南生态控制区</w:t>
            </w:r>
          </w:p>
        </w:tc>
      </w:tr>
      <w:tr>
        <w:tblPrEx>
          <w:tblCellMar>
            <w:top w:w="0" w:type="dxa"/>
            <w:left w:w="0" w:type="dxa"/>
            <w:bottom w:w="0" w:type="dxa"/>
            <w:right w:w="0" w:type="dxa"/>
          </w:tblCellMar>
        </w:tblPrEx>
        <w:trPr>
          <w:trHeight w:val="340" w:hRule="exact"/>
        </w:trPr>
        <w:tc>
          <w:tcPr>
            <w:tcW w:w="430"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34</w:t>
            </w:r>
          </w:p>
        </w:tc>
        <w:tc>
          <w:tcPr>
            <w:tcW w:w="1184"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3386"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pStyle w:val="29"/>
              <w:jc w:val="center"/>
              <w:rPr>
                <w:rFonts w:ascii="Times New Roman"/>
                <w:color w:val="auto"/>
              </w:rPr>
            </w:pPr>
            <w:r>
              <w:rPr>
                <w:rFonts w:ascii="Times New Roman"/>
                <w:color w:val="auto"/>
              </w:rPr>
              <w:t>北大港生态控制区</w:t>
            </w:r>
          </w:p>
        </w:tc>
      </w:tr>
      <w:tr>
        <w:trPr>
          <w:trHeight w:val="340" w:hRule="exact"/>
        </w:trPr>
        <w:tc>
          <w:tcPr>
            <w:tcW w:w="430"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35</w:t>
            </w:r>
          </w:p>
        </w:tc>
        <w:tc>
          <w:tcPr>
            <w:tcW w:w="1184"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3386"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color w:val="auto"/>
                <w:sz w:val="24"/>
                <w:szCs w:val="24"/>
              </w:rPr>
              <w:t>天津</w:t>
            </w:r>
            <w:r>
              <w:rPr>
                <w:rFonts w:hint="eastAsia"/>
                <w:color w:val="auto"/>
                <w:sz w:val="24"/>
                <w:szCs w:val="24"/>
              </w:rPr>
              <w:t>北大港湿地自然保护区生态保护区</w:t>
            </w:r>
          </w:p>
        </w:tc>
      </w:tr>
      <w:tr>
        <w:tblPrEx>
          <w:tblCellMar>
            <w:top w:w="0" w:type="dxa"/>
            <w:left w:w="0" w:type="dxa"/>
            <w:bottom w:w="0" w:type="dxa"/>
            <w:right w:w="0" w:type="dxa"/>
          </w:tblCellMar>
        </w:tblPrEx>
        <w:trPr>
          <w:trHeight w:val="340" w:hRule="exact"/>
        </w:trPr>
        <w:tc>
          <w:tcPr>
            <w:tcW w:w="430"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36</w:t>
            </w:r>
          </w:p>
        </w:tc>
        <w:tc>
          <w:tcPr>
            <w:tcW w:w="1184" w:type="pct"/>
            <w:vMerge w:val="continue"/>
            <w:tcBorders>
              <w:left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3386"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大港滨海湿地生态保护区</w:t>
            </w:r>
          </w:p>
        </w:tc>
      </w:tr>
      <w:tr>
        <w:tblPrEx>
          <w:tblCellMar>
            <w:top w:w="0" w:type="dxa"/>
            <w:left w:w="0" w:type="dxa"/>
            <w:bottom w:w="0" w:type="dxa"/>
            <w:right w:w="0" w:type="dxa"/>
          </w:tblCellMar>
        </w:tblPrEx>
        <w:trPr>
          <w:trHeight w:val="340" w:hRule="exact"/>
        </w:trPr>
        <w:tc>
          <w:tcPr>
            <w:tcW w:w="430"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37</w:t>
            </w:r>
          </w:p>
        </w:tc>
        <w:tc>
          <w:tcPr>
            <w:tcW w:w="1184" w:type="pct"/>
            <w:vMerge w:val="continue"/>
            <w:tcBorders>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p>
        </w:tc>
        <w:tc>
          <w:tcPr>
            <w:tcW w:w="3386" w:type="pct"/>
            <w:tcBorders>
              <w:top w:val="single" w:color="000000" w:sz="2" w:space="0"/>
              <w:left w:val="single" w:color="000000" w:sz="2" w:space="0"/>
              <w:bottom w:val="single" w:color="000000" w:sz="2" w:space="0"/>
              <w:right w:val="single" w:color="000000" w:sz="2" w:space="0"/>
            </w:tcBorders>
            <w:shd w:val="clear" w:color="auto" w:fill="auto"/>
            <w:tcMar>
              <w:left w:w="72" w:type="dxa"/>
              <w:right w:w="72" w:type="dxa"/>
            </w:tcMar>
            <w:vAlign w:val="center"/>
          </w:tcPr>
          <w:p>
            <w:pPr>
              <w:jc w:val="center"/>
              <w:rPr>
                <w:color w:val="auto"/>
                <w:sz w:val="24"/>
                <w:szCs w:val="24"/>
              </w:rPr>
            </w:pPr>
            <w:r>
              <w:rPr>
                <w:rFonts w:hint="eastAsia"/>
                <w:color w:val="auto"/>
                <w:sz w:val="24"/>
                <w:szCs w:val="24"/>
              </w:rPr>
              <w:t>马棚口交通运输用海区</w:t>
            </w:r>
          </w:p>
        </w:tc>
      </w:tr>
    </w:tbl>
    <w:p>
      <w:pPr>
        <w:spacing w:line="360" w:lineRule="auto"/>
        <w:jc w:val="center"/>
        <w:rPr>
          <w:rFonts w:eastAsia="仿宋"/>
          <w:color w:val="auto"/>
          <w:sz w:val="30"/>
          <w:szCs w:val="30"/>
        </w:rPr>
      </w:pPr>
    </w:p>
    <w:p>
      <w:pPr>
        <w:spacing w:line="360" w:lineRule="auto"/>
        <w:jc w:val="center"/>
        <w:rPr>
          <w:rFonts w:eastAsia="仿宋"/>
          <w:color w:val="auto"/>
          <w:sz w:val="30"/>
          <w:szCs w:val="30"/>
        </w:rPr>
      </w:pPr>
    </w:p>
    <w:p>
      <w:pPr>
        <w:spacing w:line="360" w:lineRule="auto"/>
        <w:jc w:val="center"/>
        <w:rPr>
          <w:rFonts w:eastAsia="仿宋"/>
          <w:color w:val="auto"/>
          <w:sz w:val="30"/>
          <w:szCs w:val="30"/>
        </w:rPr>
      </w:pPr>
    </w:p>
    <w:p>
      <w:pPr>
        <w:spacing w:line="360" w:lineRule="auto"/>
        <w:jc w:val="center"/>
        <w:rPr>
          <w:rFonts w:eastAsia="仿宋"/>
          <w:color w:val="auto"/>
          <w:sz w:val="30"/>
          <w:szCs w:val="30"/>
        </w:rPr>
      </w:pPr>
    </w:p>
    <w:bookmarkEnd w:id="4"/>
    <w:p>
      <w:pPr>
        <w:pStyle w:val="30"/>
        <w:ind w:firstLine="705" w:firstLineChars="196"/>
        <w:rPr>
          <w:rFonts w:ascii="Times New Roman" w:hAnsi="Times New Roman" w:eastAsia="黑体"/>
          <w:b w:val="0"/>
          <w:color w:val="auto"/>
          <w:sz w:val="36"/>
          <w:szCs w:val="36"/>
        </w:rPr>
      </w:pPr>
      <w:bookmarkStart w:id="38" w:name="_Toc204848738"/>
      <w:r>
        <w:rPr>
          <w:rFonts w:hint="eastAsia" w:ascii="Times New Roman" w:hAnsi="Times New Roman" w:eastAsia="黑体"/>
          <w:b w:val="0"/>
          <w:color w:val="auto"/>
          <w:sz w:val="36"/>
          <w:szCs w:val="36"/>
        </w:rPr>
        <w:t>附表</w:t>
      </w:r>
      <w:r>
        <w:rPr>
          <w:rFonts w:ascii="Times New Roman" w:hAnsi="Times New Roman" w:eastAsia="黑体"/>
          <w:b w:val="0"/>
          <w:color w:val="auto"/>
          <w:sz w:val="36"/>
          <w:szCs w:val="36"/>
        </w:rPr>
        <w:t>1</w:t>
      </w:r>
      <w:r>
        <w:rPr>
          <w:rFonts w:hint="eastAsia" w:ascii="Times New Roman" w:hAnsi="Times New Roman" w:eastAsia="黑体"/>
          <w:b w:val="0"/>
          <w:color w:val="auto"/>
          <w:sz w:val="36"/>
          <w:szCs w:val="36"/>
        </w:rPr>
        <w:t xml:space="preserve"> 近岸海域环境功能区修编的理由和依据</w:t>
      </w:r>
      <w:bookmarkEnd w:id="38"/>
    </w:p>
    <w:tbl>
      <w:tblPr>
        <w:tblStyle w:val="31"/>
        <w:tblW w:w="5206" w:type="pct"/>
        <w:tblInd w:w="-3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1538"/>
        <w:gridCol w:w="2314"/>
        <w:gridCol w:w="1254"/>
        <w:gridCol w:w="2134"/>
        <w:gridCol w:w="998"/>
        <w:gridCol w:w="788"/>
        <w:gridCol w:w="5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trPr>
        <w:tc>
          <w:tcPr>
            <w:tcW w:w="199" w:type="pct"/>
            <w:vAlign w:val="center"/>
          </w:tcPr>
          <w:p>
            <w:pPr>
              <w:jc w:val="center"/>
              <w:rPr>
                <w:color w:val="auto"/>
                <w:sz w:val="24"/>
              </w:rPr>
            </w:pPr>
            <w:r>
              <w:rPr>
                <w:color w:val="auto"/>
                <w:sz w:val="24"/>
              </w:rPr>
              <w:t>序号</w:t>
            </w:r>
          </w:p>
        </w:tc>
        <w:tc>
          <w:tcPr>
            <w:tcW w:w="521" w:type="pct"/>
            <w:vAlign w:val="center"/>
          </w:tcPr>
          <w:p>
            <w:pPr>
              <w:jc w:val="center"/>
              <w:rPr>
                <w:color w:val="auto"/>
                <w:sz w:val="24"/>
              </w:rPr>
            </w:pPr>
            <w:r>
              <w:rPr>
                <w:color w:val="auto"/>
                <w:sz w:val="24"/>
              </w:rPr>
              <w:t>管控类型</w:t>
            </w:r>
          </w:p>
        </w:tc>
        <w:tc>
          <w:tcPr>
            <w:tcW w:w="784" w:type="pct"/>
            <w:vAlign w:val="center"/>
          </w:tcPr>
          <w:p>
            <w:pPr>
              <w:jc w:val="center"/>
              <w:rPr>
                <w:color w:val="auto"/>
                <w:sz w:val="24"/>
              </w:rPr>
            </w:pPr>
            <w:r>
              <w:rPr>
                <w:color w:val="auto"/>
                <w:sz w:val="24"/>
              </w:rPr>
              <w:t>功能区名称</w:t>
            </w:r>
          </w:p>
        </w:tc>
        <w:tc>
          <w:tcPr>
            <w:tcW w:w="425" w:type="pct"/>
            <w:vAlign w:val="center"/>
          </w:tcPr>
          <w:p>
            <w:pPr>
              <w:jc w:val="center"/>
              <w:rPr>
                <w:color w:val="auto"/>
                <w:sz w:val="24"/>
              </w:rPr>
            </w:pPr>
            <w:r>
              <w:rPr>
                <w:color w:val="auto"/>
                <w:sz w:val="24"/>
              </w:rPr>
              <w:t>代码</w:t>
            </w:r>
          </w:p>
        </w:tc>
        <w:tc>
          <w:tcPr>
            <w:tcW w:w="723" w:type="pct"/>
            <w:vAlign w:val="center"/>
          </w:tcPr>
          <w:p>
            <w:pPr>
              <w:jc w:val="center"/>
              <w:rPr>
                <w:color w:val="auto"/>
                <w:sz w:val="24"/>
              </w:rPr>
            </w:pPr>
            <w:r>
              <w:rPr>
                <w:color w:val="auto"/>
                <w:sz w:val="24"/>
              </w:rPr>
              <w:t>主要功能</w:t>
            </w:r>
          </w:p>
        </w:tc>
        <w:tc>
          <w:tcPr>
            <w:tcW w:w="338" w:type="pct"/>
            <w:vAlign w:val="center"/>
          </w:tcPr>
          <w:p>
            <w:pPr>
              <w:jc w:val="center"/>
              <w:rPr>
                <w:color w:val="auto"/>
                <w:sz w:val="24"/>
              </w:rPr>
            </w:pPr>
            <w:r>
              <w:rPr>
                <w:rFonts w:hint="eastAsia"/>
                <w:color w:val="auto"/>
                <w:sz w:val="24"/>
              </w:rPr>
              <w:t>功能区类别</w:t>
            </w:r>
          </w:p>
        </w:tc>
        <w:tc>
          <w:tcPr>
            <w:tcW w:w="267" w:type="pct"/>
            <w:vAlign w:val="center"/>
          </w:tcPr>
          <w:p>
            <w:pPr>
              <w:jc w:val="center"/>
              <w:rPr>
                <w:color w:val="auto"/>
                <w:sz w:val="24"/>
              </w:rPr>
            </w:pPr>
            <w:r>
              <w:rPr>
                <w:color w:val="auto"/>
                <w:sz w:val="24"/>
              </w:rPr>
              <w:t>水质目标</w:t>
            </w:r>
          </w:p>
        </w:tc>
        <w:tc>
          <w:tcPr>
            <w:tcW w:w="1743" w:type="pct"/>
            <w:vAlign w:val="center"/>
          </w:tcPr>
          <w:p>
            <w:pPr>
              <w:jc w:val="center"/>
              <w:rPr>
                <w:color w:val="auto"/>
                <w:sz w:val="24"/>
              </w:rPr>
            </w:pPr>
            <w:r>
              <w:rPr>
                <w:rFonts w:hint="eastAsia"/>
                <w:color w:val="auto"/>
                <w:sz w:val="24"/>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99" w:type="pct"/>
            <w:vAlign w:val="center"/>
          </w:tcPr>
          <w:p>
            <w:pPr>
              <w:jc w:val="center"/>
              <w:rPr>
                <w:color w:val="auto"/>
                <w:sz w:val="24"/>
              </w:rPr>
            </w:pPr>
            <w:r>
              <w:rPr>
                <w:color w:val="auto"/>
                <w:sz w:val="24"/>
              </w:rPr>
              <w:t>1</w:t>
            </w:r>
          </w:p>
        </w:tc>
        <w:tc>
          <w:tcPr>
            <w:tcW w:w="521" w:type="pct"/>
            <w:vAlign w:val="center"/>
          </w:tcPr>
          <w:p>
            <w:pPr>
              <w:jc w:val="center"/>
              <w:rPr>
                <w:color w:val="auto"/>
                <w:sz w:val="24"/>
              </w:rPr>
            </w:pPr>
            <w:r>
              <w:rPr>
                <w:color w:val="auto"/>
                <w:sz w:val="24"/>
              </w:rPr>
              <w:t>优先保护区</w:t>
            </w:r>
          </w:p>
        </w:tc>
        <w:tc>
          <w:tcPr>
            <w:tcW w:w="784" w:type="pct"/>
            <w:vAlign w:val="center"/>
          </w:tcPr>
          <w:p>
            <w:pPr>
              <w:jc w:val="center"/>
              <w:rPr>
                <w:color w:val="auto"/>
                <w:sz w:val="24"/>
              </w:rPr>
            </w:pPr>
            <w:r>
              <w:rPr>
                <w:color w:val="auto"/>
                <w:sz w:val="24"/>
              </w:rPr>
              <w:t>天津滨海国家海洋公园生态保护区</w:t>
            </w:r>
          </w:p>
        </w:tc>
        <w:tc>
          <w:tcPr>
            <w:tcW w:w="425" w:type="pct"/>
            <w:vAlign w:val="center"/>
          </w:tcPr>
          <w:p>
            <w:pPr>
              <w:jc w:val="center"/>
              <w:rPr>
                <w:color w:val="auto"/>
                <w:sz w:val="24"/>
                <w:szCs w:val="24"/>
              </w:rPr>
            </w:pPr>
            <w:r>
              <w:rPr>
                <w:color w:val="auto"/>
                <w:sz w:val="24"/>
                <w:szCs w:val="24"/>
              </w:rPr>
              <w:t>TJ001AⅠ</w:t>
            </w:r>
          </w:p>
        </w:tc>
        <w:tc>
          <w:tcPr>
            <w:tcW w:w="723" w:type="pct"/>
            <w:vAlign w:val="center"/>
          </w:tcPr>
          <w:p>
            <w:pPr>
              <w:rPr>
                <w:color w:val="auto"/>
                <w:sz w:val="24"/>
                <w:szCs w:val="24"/>
              </w:rPr>
            </w:pPr>
            <w:r>
              <w:rPr>
                <w:color w:val="auto"/>
                <w:sz w:val="24"/>
                <w:szCs w:val="24"/>
              </w:rPr>
              <w:t>海洋保护区、海洋生态保护红线</w:t>
            </w:r>
          </w:p>
        </w:tc>
        <w:tc>
          <w:tcPr>
            <w:tcW w:w="338" w:type="pct"/>
            <w:vAlign w:val="center"/>
          </w:tcPr>
          <w:p>
            <w:pPr>
              <w:jc w:val="center"/>
              <w:rPr>
                <w:color w:val="auto"/>
                <w:sz w:val="24"/>
                <w:szCs w:val="24"/>
              </w:rPr>
            </w:pPr>
            <w:r>
              <w:rPr>
                <w:rFonts w:hint="eastAsia"/>
                <w:color w:val="auto"/>
                <w:sz w:val="24"/>
                <w:szCs w:val="24"/>
              </w:rPr>
              <w:t>一类区</w:t>
            </w:r>
          </w:p>
        </w:tc>
        <w:tc>
          <w:tcPr>
            <w:tcW w:w="267" w:type="pct"/>
            <w:vAlign w:val="center"/>
          </w:tcPr>
          <w:p>
            <w:pPr>
              <w:jc w:val="center"/>
              <w:rPr>
                <w:color w:val="auto"/>
                <w:sz w:val="24"/>
                <w:szCs w:val="24"/>
              </w:rPr>
            </w:pPr>
            <w:r>
              <w:rPr>
                <w:color w:val="auto"/>
                <w:sz w:val="24"/>
                <w:szCs w:val="24"/>
              </w:rPr>
              <w:t>一类</w:t>
            </w:r>
          </w:p>
        </w:tc>
        <w:tc>
          <w:tcPr>
            <w:tcW w:w="1743" w:type="pct"/>
            <w:vAlign w:val="center"/>
          </w:tcPr>
          <w:p>
            <w:pPr>
              <w:pStyle w:val="29"/>
              <w:jc w:val="both"/>
              <w:rPr>
                <w:rFonts w:ascii="Times New Roman"/>
                <w:color w:val="auto"/>
              </w:rPr>
            </w:pPr>
            <w:r>
              <w:rPr>
                <w:rFonts w:hint="eastAsia" w:ascii="Times New Roman"/>
                <w:color w:val="auto"/>
              </w:rPr>
              <w:t>属于海水水质标准中的“海上自然保护区”，水质要求为一类。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99" w:type="pct"/>
            <w:vAlign w:val="center"/>
          </w:tcPr>
          <w:p>
            <w:pPr>
              <w:jc w:val="center"/>
              <w:rPr>
                <w:color w:val="auto"/>
                <w:sz w:val="24"/>
              </w:rPr>
            </w:pPr>
            <w:r>
              <w:rPr>
                <w:color w:val="auto"/>
                <w:sz w:val="24"/>
              </w:rPr>
              <w:t>2</w:t>
            </w:r>
          </w:p>
        </w:tc>
        <w:tc>
          <w:tcPr>
            <w:tcW w:w="521" w:type="pct"/>
            <w:vAlign w:val="center"/>
          </w:tcPr>
          <w:p>
            <w:pPr>
              <w:jc w:val="center"/>
              <w:rPr>
                <w:color w:val="auto"/>
                <w:sz w:val="24"/>
              </w:rPr>
            </w:pPr>
            <w:r>
              <w:rPr>
                <w:color w:val="auto"/>
                <w:sz w:val="24"/>
              </w:rPr>
              <w:t>优先保护区</w:t>
            </w:r>
          </w:p>
        </w:tc>
        <w:tc>
          <w:tcPr>
            <w:tcW w:w="784" w:type="pct"/>
            <w:vAlign w:val="center"/>
          </w:tcPr>
          <w:p>
            <w:pPr>
              <w:jc w:val="center"/>
              <w:rPr>
                <w:color w:val="auto"/>
                <w:sz w:val="24"/>
              </w:rPr>
            </w:pPr>
            <w:r>
              <w:rPr>
                <w:color w:val="auto"/>
                <w:sz w:val="24"/>
              </w:rPr>
              <w:t>汉沽重要渔业海域生态保护区</w:t>
            </w:r>
          </w:p>
        </w:tc>
        <w:tc>
          <w:tcPr>
            <w:tcW w:w="425" w:type="pct"/>
            <w:vAlign w:val="center"/>
          </w:tcPr>
          <w:p>
            <w:pPr>
              <w:jc w:val="center"/>
              <w:rPr>
                <w:color w:val="auto"/>
                <w:sz w:val="24"/>
                <w:szCs w:val="24"/>
              </w:rPr>
            </w:pPr>
            <w:r>
              <w:rPr>
                <w:color w:val="auto"/>
                <w:sz w:val="24"/>
                <w:szCs w:val="24"/>
              </w:rPr>
              <w:t>TJ002AⅠ</w:t>
            </w:r>
          </w:p>
        </w:tc>
        <w:tc>
          <w:tcPr>
            <w:tcW w:w="723" w:type="pct"/>
            <w:vAlign w:val="center"/>
          </w:tcPr>
          <w:p>
            <w:pPr>
              <w:rPr>
                <w:color w:val="auto"/>
                <w:sz w:val="24"/>
                <w:szCs w:val="24"/>
              </w:rPr>
            </w:pPr>
            <w:r>
              <w:rPr>
                <w:color w:val="auto"/>
                <w:sz w:val="24"/>
                <w:szCs w:val="24"/>
              </w:rPr>
              <w:t>海洋渔业水域、海洋生态保护红线</w:t>
            </w:r>
          </w:p>
        </w:tc>
        <w:tc>
          <w:tcPr>
            <w:tcW w:w="338" w:type="pct"/>
            <w:vAlign w:val="center"/>
          </w:tcPr>
          <w:p>
            <w:pPr>
              <w:jc w:val="center"/>
              <w:rPr>
                <w:color w:val="auto"/>
                <w:sz w:val="24"/>
                <w:szCs w:val="24"/>
              </w:rPr>
            </w:pPr>
            <w:r>
              <w:rPr>
                <w:rFonts w:hint="eastAsia"/>
                <w:color w:val="auto"/>
                <w:sz w:val="24"/>
                <w:szCs w:val="24"/>
              </w:rPr>
              <w:t>一类区</w:t>
            </w:r>
          </w:p>
        </w:tc>
        <w:tc>
          <w:tcPr>
            <w:tcW w:w="267" w:type="pct"/>
            <w:vAlign w:val="center"/>
          </w:tcPr>
          <w:p>
            <w:pPr>
              <w:jc w:val="center"/>
              <w:rPr>
                <w:color w:val="auto"/>
                <w:sz w:val="24"/>
                <w:szCs w:val="24"/>
              </w:rPr>
            </w:pPr>
            <w:r>
              <w:rPr>
                <w:color w:val="auto"/>
                <w:sz w:val="24"/>
                <w:szCs w:val="24"/>
              </w:rPr>
              <w:t>一类</w:t>
            </w:r>
          </w:p>
        </w:tc>
        <w:tc>
          <w:tcPr>
            <w:tcW w:w="1743" w:type="pct"/>
            <w:vAlign w:val="center"/>
          </w:tcPr>
          <w:p>
            <w:pPr>
              <w:pStyle w:val="29"/>
              <w:jc w:val="both"/>
              <w:rPr>
                <w:rFonts w:ascii="Times New Roman"/>
                <w:color w:val="auto"/>
              </w:rPr>
            </w:pPr>
            <w:r>
              <w:rPr>
                <w:rFonts w:hint="eastAsia" w:ascii="Times New Roman"/>
                <w:color w:val="auto"/>
              </w:rPr>
              <w:t>是重要的渔业资源栖息地，属于海水水质标准中的“海洋渔业水域”，水质要求为一类。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99" w:type="pct"/>
            <w:vAlign w:val="center"/>
          </w:tcPr>
          <w:p>
            <w:pPr>
              <w:jc w:val="center"/>
              <w:rPr>
                <w:color w:val="auto"/>
                <w:sz w:val="24"/>
              </w:rPr>
            </w:pPr>
            <w:r>
              <w:rPr>
                <w:color w:val="auto"/>
                <w:sz w:val="24"/>
              </w:rPr>
              <w:t>3</w:t>
            </w:r>
          </w:p>
        </w:tc>
        <w:tc>
          <w:tcPr>
            <w:tcW w:w="521" w:type="pct"/>
            <w:vAlign w:val="center"/>
          </w:tcPr>
          <w:p>
            <w:pPr>
              <w:jc w:val="center"/>
              <w:rPr>
                <w:color w:val="auto"/>
                <w:sz w:val="24"/>
              </w:rPr>
            </w:pPr>
            <w:r>
              <w:rPr>
                <w:color w:val="auto"/>
                <w:sz w:val="24"/>
              </w:rPr>
              <w:t>优先保护区</w:t>
            </w:r>
          </w:p>
        </w:tc>
        <w:tc>
          <w:tcPr>
            <w:tcW w:w="784" w:type="pct"/>
            <w:vAlign w:val="center"/>
          </w:tcPr>
          <w:p>
            <w:pPr>
              <w:jc w:val="center"/>
              <w:rPr>
                <w:color w:val="auto"/>
                <w:sz w:val="24"/>
              </w:rPr>
            </w:pPr>
            <w:r>
              <w:rPr>
                <w:color w:val="auto"/>
                <w:sz w:val="24"/>
              </w:rPr>
              <w:t>天津古海岸与湿地国家级自然保护区生态保护区</w:t>
            </w:r>
          </w:p>
        </w:tc>
        <w:tc>
          <w:tcPr>
            <w:tcW w:w="425" w:type="pct"/>
            <w:vAlign w:val="center"/>
          </w:tcPr>
          <w:p>
            <w:pPr>
              <w:jc w:val="center"/>
              <w:rPr>
                <w:color w:val="auto"/>
                <w:sz w:val="24"/>
                <w:szCs w:val="24"/>
              </w:rPr>
            </w:pPr>
            <w:r>
              <w:rPr>
                <w:color w:val="auto"/>
                <w:sz w:val="24"/>
                <w:szCs w:val="24"/>
              </w:rPr>
              <w:t>TJ003AⅠ</w:t>
            </w:r>
          </w:p>
        </w:tc>
        <w:tc>
          <w:tcPr>
            <w:tcW w:w="723" w:type="pct"/>
            <w:vAlign w:val="center"/>
          </w:tcPr>
          <w:p>
            <w:pPr>
              <w:rPr>
                <w:color w:val="auto"/>
                <w:sz w:val="24"/>
                <w:szCs w:val="24"/>
              </w:rPr>
            </w:pPr>
            <w:r>
              <w:rPr>
                <w:color w:val="auto"/>
                <w:sz w:val="24"/>
                <w:szCs w:val="24"/>
              </w:rPr>
              <w:t>自然保护区、海洋生态保护红线</w:t>
            </w:r>
          </w:p>
        </w:tc>
        <w:tc>
          <w:tcPr>
            <w:tcW w:w="338" w:type="pct"/>
            <w:vAlign w:val="center"/>
          </w:tcPr>
          <w:p>
            <w:pPr>
              <w:jc w:val="center"/>
              <w:rPr>
                <w:color w:val="auto"/>
                <w:sz w:val="24"/>
                <w:szCs w:val="24"/>
              </w:rPr>
            </w:pPr>
            <w:r>
              <w:rPr>
                <w:rFonts w:hint="eastAsia"/>
                <w:color w:val="auto"/>
                <w:sz w:val="24"/>
                <w:szCs w:val="24"/>
              </w:rPr>
              <w:t>一类区</w:t>
            </w:r>
          </w:p>
        </w:tc>
        <w:tc>
          <w:tcPr>
            <w:tcW w:w="267" w:type="pct"/>
            <w:vAlign w:val="center"/>
          </w:tcPr>
          <w:p>
            <w:pPr>
              <w:jc w:val="center"/>
              <w:rPr>
                <w:color w:val="auto"/>
                <w:sz w:val="24"/>
                <w:szCs w:val="24"/>
              </w:rPr>
            </w:pPr>
            <w:r>
              <w:rPr>
                <w:color w:val="auto"/>
                <w:sz w:val="24"/>
                <w:szCs w:val="24"/>
              </w:rPr>
              <w:t>一类</w:t>
            </w:r>
          </w:p>
        </w:tc>
        <w:tc>
          <w:tcPr>
            <w:tcW w:w="1743" w:type="pct"/>
            <w:vAlign w:val="center"/>
          </w:tcPr>
          <w:p>
            <w:pPr>
              <w:pStyle w:val="29"/>
              <w:jc w:val="both"/>
              <w:rPr>
                <w:rFonts w:ascii="Times New Roman"/>
                <w:color w:val="auto"/>
              </w:rPr>
            </w:pPr>
            <w:r>
              <w:rPr>
                <w:rFonts w:hint="eastAsia" w:ascii="Times New Roman"/>
                <w:color w:val="auto"/>
              </w:rPr>
              <w:t>是天津古海岸与湿地国家级自然保护区所属贝壳堤青坨子区域，属于海水水质标准中的“海上自然保护区”，水质要求为一类。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99" w:type="pct"/>
            <w:vAlign w:val="center"/>
          </w:tcPr>
          <w:p>
            <w:pPr>
              <w:jc w:val="center"/>
              <w:rPr>
                <w:color w:val="auto"/>
                <w:sz w:val="24"/>
              </w:rPr>
            </w:pPr>
            <w:r>
              <w:rPr>
                <w:rFonts w:hint="eastAsia"/>
                <w:color w:val="auto"/>
                <w:sz w:val="24"/>
              </w:rPr>
              <w:t>4</w:t>
            </w:r>
          </w:p>
        </w:tc>
        <w:tc>
          <w:tcPr>
            <w:tcW w:w="521" w:type="pct"/>
            <w:vAlign w:val="center"/>
          </w:tcPr>
          <w:p>
            <w:pPr>
              <w:jc w:val="center"/>
              <w:rPr>
                <w:color w:val="auto"/>
                <w:sz w:val="24"/>
              </w:rPr>
            </w:pPr>
            <w:r>
              <w:rPr>
                <w:color w:val="auto"/>
                <w:sz w:val="24"/>
              </w:rPr>
              <w:t>优先保护区</w:t>
            </w:r>
          </w:p>
        </w:tc>
        <w:tc>
          <w:tcPr>
            <w:tcW w:w="784" w:type="pct"/>
            <w:vAlign w:val="center"/>
          </w:tcPr>
          <w:p>
            <w:pPr>
              <w:jc w:val="center"/>
              <w:rPr>
                <w:color w:val="auto"/>
                <w:sz w:val="24"/>
              </w:rPr>
            </w:pPr>
            <w:r>
              <w:rPr>
                <w:color w:val="auto"/>
                <w:sz w:val="24"/>
              </w:rPr>
              <w:t>天津</w:t>
            </w:r>
            <w:r>
              <w:rPr>
                <w:rFonts w:hint="eastAsia"/>
                <w:color w:val="auto"/>
                <w:sz w:val="24"/>
              </w:rPr>
              <w:t>北大港湿地自然保护区生态保护区</w:t>
            </w:r>
          </w:p>
        </w:tc>
        <w:tc>
          <w:tcPr>
            <w:tcW w:w="425" w:type="pct"/>
            <w:vAlign w:val="center"/>
          </w:tcPr>
          <w:p>
            <w:pPr>
              <w:jc w:val="center"/>
              <w:rPr>
                <w:color w:val="auto"/>
                <w:sz w:val="24"/>
                <w:szCs w:val="24"/>
              </w:rPr>
            </w:pPr>
            <w:r>
              <w:rPr>
                <w:color w:val="auto"/>
                <w:sz w:val="24"/>
                <w:szCs w:val="24"/>
              </w:rPr>
              <w:t>TJ004AⅠ</w:t>
            </w:r>
          </w:p>
        </w:tc>
        <w:tc>
          <w:tcPr>
            <w:tcW w:w="723" w:type="pct"/>
            <w:vAlign w:val="center"/>
          </w:tcPr>
          <w:p>
            <w:pPr>
              <w:rPr>
                <w:color w:val="auto"/>
                <w:sz w:val="24"/>
                <w:szCs w:val="24"/>
              </w:rPr>
            </w:pPr>
            <w:r>
              <w:rPr>
                <w:color w:val="auto"/>
                <w:sz w:val="24"/>
                <w:szCs w:val="24"/>
              </w:rPr>
              <w:t>自然保护区、海洋生态保护红线</w:t>
            </w:r>
          </w:p>
        </w:tc>
        <w:tc>
          <w:tcPr>
            <w:tcW w:w="338" w:type="pct"/>
            <w:vAlign w:val="center"/>
          </w:tcPr>
          <w:p>
            <w:pPr>
              <w:jc w:val="center"/>
              <w:rPr>
                <w:color w:val="auto"/>
                <w:sz w:val="24"/>
                <w:szCs w:val="24"/>
              </w:rPr>
            </w:pPr>
            <w:r>
              <w:rPr>
                <w:rFonts w:hint="eastAsia"/>
                <w:color w:val="auto"/>
                <w:sz w:val="24"/>
                <w:szCs w:val="24"/>
              </w:rPr>
              <w:t>一类区</w:t>
            </w:r>
          </w:p>
        </w:tc>
        <w:tc>
          <w:tcPr>
            <w:tcW w:w="267" w:type="pct"/>
            <w:vAlign w:val="center"/>
          </w:tcPr>
          <w:p>
            <w:pPr>
              <w:jc w:val="center"/>
              <w:rPr>
                <w:color w:val="auto"/>
                <w:sz w:val="24"/>
                <w:szCs w:val="24"/>
              </w:rPr>
            </w:pPr>
            <w:r>
              <w:rPr>
                <w:color w:val="auto"/>
                <w:sz w:val="24"/>
                <w:szCs w:val="24"/>
              </w:rPr>
              <w:t>一类</w:t>
            </w:r>
          </w:p>
        </w:tc>
        <w:tc>
          <w:tcPr>
            <w:tcW w:w="1743" w:type="pct"/>
            <w:vAlign w:val="center"/>
          </w:tcPr>
          <w:p>
            <w:pPr>
              <w:pStyle w:val="29"/>
              <w:jc w:val="both"/>
              <w:rPr>
                <w:rFonts w:ascii="Times New Roman"/>
                <w:color w:val="auto"/>
              </w:rPr>
            </w:pPr>
            <w:r>
              <w:rPr>
                <w:rFonts w:hint="eastAsia" w:ascii="Times New Roman"/>
                <w:color w:val="auto"/>
              </w:rPr>
              <w:t>是北大港湿地自然保护区的李二湾河口沿海滩涂，属于海水水质标准中的“海上自然保护区”，水质要求为一类。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99" w:type="pct"/>
            <w:vAlign w:val="center"/>
          </w:tcPr>
          <w:p>
            <w:pPr>
              <w:jc w:val="center"/>
              <w:rPr>
                <w:color w:val="auto"/>
                <w:sz w:val="24"/>
              </w:rPr>
            </w:pPr>
            <w:r>
              <w:rPr>
                <w:rFonts w:hint="eastAsia"/>
                <w:color w:val="auto"/>
                <w:sz w:val="24"/>
              </w:rPr>
              <w:t>5</w:t>
            </w:r>
          </w:p>
        </w:tc>
        <w:tc>
          <w:tcPr>
            <w:tcW w:w="521" w:type="pct"/>
            <w:vAlign w:val="center"/>
          </w:tcPr>
          <w:p>
            <w:pPr>
              <w:jc w:val="center"/>
              <w:rPr>
                <w:color w:val="auto"/>
                <w:sz w:val="24"/>
              </w:rPr>
            </w:pPr>
            <w:r>
              <w:rPr>
                <w:color w:val="auto"/>
                <w:sz w:val="24"/>
              </w:rPr>
              <w:t>优先保护区</w:t>
            </w:r>
          </w:p>
        </w:tc>
        <w:tc>
          <w:tcPr>
            <w:tcW w:w="784" w:type="pct"/>
            <w:vAlign w:val="center"/>
          </w:tcPr>
          <w:p>
            <w:pPr>
              <w:jc w:val="center"/>
              <w:rPr>
                <w:color w:val="auto"/>
                <w:sz w:val="24"/>
              </w:rPr>
            </w:pPr>
            <w:r>
              <w:rPr>
                <w:rFonts w:hint="eastAsia"/>
                <w:color w:val="auto"/>
                <w:sz w:val="24"/>
              </w:rPr>
              <w:t>大港滨海湿地生态保护区</w:t>
            </w:r>
          </w:p>
        </w:tc>
        <w:tc>
          <w:tcPr>
            <w:tcW w:w="425" w:type="pct"/>
            <w:vAlign w:val="center"/>
          </w:tcPr>
          <w:p>
            <w:pPr>
              <w:jc w:val="center"/>
              <w:rPr>
                <w:color w:val="auto"/>
                <w:sz w:val="24"/>
                <w:szCs w:val="24"/>
              </w:rPr>
            </w:pPr>
            <w:r>
              <w:rPr>
                <w:color w:val="auto"/>
                <w:sz w:val="24"/>
                <w:szCs w:val="24"/>
              </w:rPr>
              <w:t>TJ00</w:t>
            </w:r>
            <w:r>
              <w:rPr>
                <w:rFonts w:hint="eastAsia"/>
                <w:color w:val="auto"/>
                <w:sz w:val="24"/>
                <w:szCs w:val="24"/>
              </w:rPr>
              <w:t>5</w:t>
            </w:r>
            <w:r>
              <w:rPr>
                <w:color w:val="auto"/>
                <w:sz w:val="24"/>
                <w:szCs w:val="24"/>
              </w:rPr>
              <w:t>AⅠ</w:t>
            </w:r>
          </w:p>
        </w:tc>
        <w:tc>
          <w:tcPr>
            <w:tcW w:w="723" w:type="pct"/>
            <w:vAlign w:val="center"/>
          </w:tcPr>
          <w:p>
            <w:pPr>
              <w:rPr>
                <w:color w:val="auto"/>
                <w:sz w:val="24"/>
                <w:szCs w:val="24"/>
              </w:rPr>
            </w:pPr>
            <w:r>
              <w:rPr>
                <w:color w:val="auto"/>
                <w:sz w:val="24"/>
                <w:szCs w:val="24"/>
              </w:rPr>
              <w:t>海洋生态保护红线</w:t>
            </w:r>
          </w:p>
        </w:tc>
        <w:tc>
          <w:tcPr>
            <w:tcW w:w="338" w:type="pct"/>
            <w:shd w:val="clear" w:color="auto" w:fill="auto"/>
            <w:vAlign w:val="center"/>
          </w:tcPr>
          <w:p>
            <w:pPr>
              <w:jc w:val="center"/>
              <w:rPr>
                <w:color w:val="auto"/>
                <w:sz w:val="24"/>
                <w:szCs w:val="24"/>
              </w:rPr>
            </w:pPr>
            <w:r>
              <w:rPr>
                <w:rFonts w:hint="eastAsia"/>
                <w:color w:val="auto"/>
                <w:sz w:val="24"/>
                <w:szCs w:val="24"/>
              </w:rPr>
              <w:t>一类区</w:t>
            </w:r>
          </w:p>
        </w:tc>
        <w:tc>
          <w:tcPr>
            <w:tcW w:w="267" w:type="pct"/>
            <w:shd w:val="clear" w:color="auto" w:fill="auto"/>
            <w:vAlign w:val="center"/>
          </w:tcPr>
          <w:p>
            <w:pPr>
              <w:jc w:val="center"/>
              <w:rPr>
                <w:color w:val="auto"/>
                <w:sz w:val="24"/>
                <w:szCs w:val="24"/>
              </w:rPr>
            </w:pPr>
            <w:r>
              <w:rPr>
                <w:color w:val="auto"/>
                <w:sz w:val="24"/>
                <w:szCs w:val="24"/>
              </w:rPr>
              <w:t>一类</w:t>
            </w:r>
          </w:p>
        </w:tc>
        <w:tc>
          <w:tcPr>
            <w:tcW w:w="1743" w:type="pct"/>
            <w:vAlign w:val="center"/>
          </w:tcPr>
          <w:p>
            <w:pPr>
              <w:pStyle w:val="29"/>
              <w:jc w:val="both"/>
              <w:rPr>
                <w:rFonts w:ascii="Times New Roman"/>
                <w:color w:val="auto"/>
              </w:rPr>
            </w:pPr>
            <w:r>
              <w:rPr>
                <w:rFonts w:hint="eastAsia" w:ascii="Times New Roman"/>
                <w:color w:val="auto"/>
              </w:rPr>
              <w:t>海洋生态保护红线，重点保护滨海湿地、贝类资源及其栖息环境，正在申请自然保护地，水质目标定为一类。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9" w:type="pct"/>
            <w:vAlign w:val="center"/>
          </w:tcPr>
          <w:p>
            <w:pPr>
              <w:jc w:val="center"/>
              <w:rPr>
                <w:color w:val="auto"/>
                <w:sz w:val="24"/>
              </w:rPr>
            </w:pPr>
            <w:r>
              <w:rPr>
                <w:rFonts w:hint="eastAsia"/>
                <w:color w:val="auto"/>
                <w:sz w:val="24"/>
              </w:rPr>
              <w:t>6</w:t>
            </w:r>
          </w:p>
        </w:tc>
        <w:tc>
          <w:tcPr>
            <w:tcW w:w="521" w:type="pct"/>
            <w:vAlign w:val="center"/>
          </w:tcPr>
          <w:p>
            <w:pPr>
              <w:jc w:val="center"/>
              <w:rPr>
                <w:color w:val="auto"/>
                <w:sz w:val="24"/>
              </w:rPr>
            </w:pPr>
            <w:r>
              <w:rPr>
                <w:color w:val="auto"/>
                <w:sz w:val="24"/>
              </w:rPr>
              <w:t>优先保护区</w:t>
            </w:r>
          </w:p>
        </w:tc>
        <w:tc>
          <w:tcPr>
            <w:tcW w:w="784" w:type="pct"/>
            <w:vAlign w:val="center"/>
          </w:tcPr>
          <w:p>
            <w:pPr>
              <w:jc w:val="center"/>
              <w:rPr>
                <w:color w:val="auto"/>
                <w:sz w:val="24"/>
              </w:rPr>
            </w:pPr>
            <w:r>
              <w:rPr>
                <w:color w:val="auto"/>
                <w:sz w:val="24"/>
              </w:rPr>
              <w:t>北塘旅游休闲娱乐区生态保护区</w:t>
            </w:r>
          </w:p>
        </w:tc>
        <w:tc>
          <w:tcPr>
            <w:tcW w:w="425" w:type="pct"/>
            <w:vAlign w:val="center"/>
          </w:tcPr>
          <w:p>
            <w:pPr>
              <w:jc w:val="center"/>
              <w:rPr>
                <w:color w:val="auto"/>
                <w:sz w:val="24"/>
              </w:rPr>
            </w:pPr>
            <w:r>
              <w:rPr>
                <w:color w:val="auto"/>
                <w:sz w:val="24"/>
              </w:rPr>
              <w:t>TJ00</w:t>
            </w:r>
            <w:r>
              <w:rPr>
                <w:rFonts w:hint="eastAsia"/>
                <w:color w:val="auto"/>
                <w:sz w:val="24"/>
              </w:rPr>
              <w:t>6</w:t>
            </w:r>
            <w:r>
              <w:rPr>
                <w:color w:val="auto"/>
                <w:sz w:val="24"/>
              </w:rPr>
              <w:t>CⅢ</w:t>
            </w:r>
          </w:p>
        </w:tc>
        <w:tc>
          <w:tcPr>
            <w:tcW w:w="723" w:type="pct"/>
            <w:vAlign w:val="center"/>
          </w:tcPr>
          <w:p>
            <w:pPr>
              <w:rPr>
                <w:color w:val="auto"/>
                <w:sz w:val="24"/>
              </w:rPr>
            </w:pPr>
            <w:r>
              <w:rPr>
                <w:color w:val="auto"/>
                <w:sz w:val="24"/>
              </w:rPr>
              <w:t>滨海旅游、海洋生态保护红线</w:t>
            </w:r>
          </w:p>
        </w:tc>
        <w:tc>
          <w:tcPr>
            <w:tcW w:w="338" w:type="pct"/>
            <w:shd w:val="clear" w:color="auto" w:fill="auto"/>
            <w:vAlign w:val="center"/>
          </w:tcPr>
          <w:p>
            <w:pPr>
              <w:jc w:val="center"/>
              <w:rPr>
                <w:color w:val="auto"/>
                <w:sz w:val="24"/>
                <w:szCs w:val="24"/>
              </w:rPr>
            </w:pPr>
            <w:r>
              <w:rPr>
                <w:rFonts w:hint="eastAsia"/>
                <w:color w:val="auto"/>
                <w:sz w:val="24"/>
                <w:szCs w:val="24"/>
              </w:rPr>
              <w:t>三类区</w:t>
            </w:r>
          </w:p>
        </w:tc>
        <w:tc>
          <w:tcPr>
            <w:tcW w:w="267" w:type="pct"/>
            <w:shd w:val="clear" w:color="auto" w:fill="auto"/>
            <w:vAlign w:val="center"/>
          </w:tcPr>
          <w:p>
            <w:pPr>
              <w:jc w:val="center"/>
              <w:rPr>
                <w:color w:val="auto"/>
                <w:sz w:val="24"/>
                <w:szCs w:val="24"/>
              </w:rPr>
            </w:pPr>
            <w:r>
              <w:rPr>
                <w:rFonts w:hint="eastAsia"/>
                <w:color w:val="auto"/>
                <w:sz w:val="24"/>
                <w:szCs w:val="24"/>
              </w:rPr>
              <w:t>三</w:t>
            </w:r>
            <w:r>
              <w:rPr>
                <w:color w:val="auto"/>
                <w:sz w:val="24"/>
                <w:szCs w:val="24"/>
              </w:rPr>
              <w:t>类</w:t>
            </w:r>
          </w:p>
        </w:tc>
        <w:tc>
          <w:tcPr>
            <w:tcW w:w="1743" w:type="pct"/>
            <w:vAlign w:val="center"/>
          </w:tcPr>
          <w:p>
            <w:pPr>
              <w:pStyle w:val="29"/>
              <w:jc w:val="both"/>
              <w:rPr>
                <w:rFonts w:ascii="Times New Roman"/>
                <w:color w:val="auto"/>
              </w:rPr>
            </w:pPr>
            <w:r>
              <w:rPr>
                <w:rFonts w:hint="eastAsia" w:ascii="Times New Roman"/>
                <w:color w:val="auto"/>
              </w:rPr>
              <w:t>有三河岛遗址生态公园，临近有北塘古镇、北三河郊野公园，属于海水水质标准中的“海滨风景旅游区”，水质要求为不劣于三类。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99" w:type="pct"/>
            <w:vAlign w:val="center"/>
          </w:tcPr>
          <w:p>
            <w:pPr>
              <w:jc w:val="center"/>
              <w:rPr>
                <w:color w:val="auto"/>
                <w:sz w:val="24"/>
              </w:rPr>
            </w:pPr>
            <w:r>
              <w:rPr>
                <w:rFonts w:hint="eastAsia"/>
                <w:color w:val="auto"/>
                <w:sz w:val="24"/>
              </w:rPr>
              <w:t>7</w:t>
            </w:r>
          </w:p>
        </w:tc>
        <w:tc>
          <w:tcPr>
            <w:tcW w:w="521" w:type="pct"/>
            <w:vAlign w:val="center"/>
          </w:tcPr>
          <w:p>
            <w:pPr>
              <w:jc w:val="center"/>
              <w:rPr>
                <w:color w:val="auto"/>
                <w:sz w:val="24"/>
              </w:rPr>
            </w:pPr>
            <w:r>
              <w:rPr>
                <w:color w:val="auto"/>
                <w:sz w:val="24"/>
              </w:rPr>
              <w:t>重点管控区</w:t>
            </w:r>
          </w:p>
        </w:tc>
        <w:tc>
          <w:tcPr>
            <w:tcW w:w="784" w:type="pct"/>
            <w:vAlign w:val="center"/>
          </w:tcPr>
          <w:p>
            <w:pPr>
              <w:jc w:val="center"/>
              <w:rPr>
                <w:color w:val="auto"/>
                <w:sz w:val="24"/>
              </w:rPr>
            </w:pPr>
            <w:r>
              <w:rPr>
                <w:color w:val="auto"/>
                <w:sz w:val="24"/>
              </w:rPr>
              <w:t>长芦盐场工矿通信用海区</w:t>
            </w:r>
          </w:p>
        </w:tc>
        <w:tc>
          <w:tcPr>
            <w:tcW w:w="425" w:type="pct"/>
            <w:vAlign w:val="center"/>
          </w:tcPr>
          <w:p>
            <w:pPr>
              <w:jc w:val="center"/>
              <w:rPr>
                <w:color w:val="auto"/>
                <w:sz w:val="24"/>
              </w:rPr>
            </w:pPr>
            <w:r>
              <w:rPr>
                <w:color w:val="auto"/>
                <w:sz w:val="24"/>
              </w:rPr>
              <w:t>TJ00</w:t>
            </w:r>
            <w:r>
              <w:rPr>
                <w:rFonts w:hint="eastAsia"/>
                <w:color w:val="auto"/>
                <w:sz w:val="24"/>
              </w:rPr>
              <w:t>7</w:t>
            </w:r>
            <w:r>
              <w:rPr>
                <w:color w:val="auto"/>
                <w:sz w:val="24"/>
              </w:rPr>
              <w:t>BⅡ</w:t>
            </w:r>
          </w:p>
        </w:tc>
        <w:tc>
          <w:tcPr>
            <w:tcW w:w="723" w:type="pct"/>
            <w:vAlign w:val="center"/>
          </w:tcPr>
          <w:p>
            <w:pPr>
              <w:rPr>
                <w:color w:val="auto"/>
                <w:sz w:val="24"/>
              </w:rPr>
            </w:pPr>
            <w:r>
              <w:rPr>
                <w:color w:val="auto"/>
                <w:sz w:val="24"/>
              </w:rPr>
              <w:t>盐田用海</w:t>
            </w:r>
          </w:p>
        </w:tc>
        <w:tc>
          <w:tcPr>
            <w:tcW w:w="338" w:type="pct"/>
            <w:vAlign w:val="center"/>
          </w:tcPr>
          <w:p>
            <w:pPr>
              <w:jc w:val="center"/>
              <w:rPr>
                <w:color w:val="auto"/>
                <w:sz w:val="24"/>
              </w:rPr>
            </w:pPr>
            <w:r>
              <w:rPr>
                <w:rFonts w:hint="eastAsia"/>
                <w:color w:val="auto"/>
                <w:sz w:val="24"/>
              </w:rPr>
              <w:t>二类区</w:t>
            </w:r>
          </w:p>
        </w:tc>
        <w:tc>
          <w:tcPr>
            <w:tcW w:w="267" w:type="pct"/>
            <w:vAlign w:val="center"/>
          </w:tcPr>
          <w:p>
            <w:pPr>
              <w:jc w:val="center"/>
              <w:rPr>
                <w:color w:val="auto"/>
                <w:sz w:val="24"/>
              </w:rPr>
            </w:pPr>
            <w:r>
              <w:rPr>
                <w:color w:val="auto"/>
                <w:sz w:val="24"/>
              </w:rPr>
              <w:t>二类</w:t>
            </w:r>
          </w:p>
        </w:tc>
        <w:tc>
          <w:tcPr>
            <w:tcW w:w="1743" w:type="pct"/>
            <w:vAlign w:val="center"/>
          </w:tcPr>
          <w:p>
            <w:pPr>
              <w:pStyle w:val="29"/>
              <w:jc w:val="both"/>
              <w:rPr>
                <w:rFonts w:ascii="Times New Roman"/>
                <w:color w:val="auto"/>
              </w:rPr>
            </w:pPr>
            <w:r>
              <w:rPr>
                <w:rFonts w:hint="eastAsia" w:ascii="Times New Roman"/>
                <w:color w:val="auto"/>
              </w:rPr>
              <w:t>是长芦盐场的一个取排水口，属于海水水质标准中的“与人类食用直接有关的工业用水区”，水质要求为不劣于三类。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99" w:type="pct"/>
            <w:vAlign w:val="center"/>
          </w:tcPr>
          <w:p>
            <w:pPr>
              <w:jc w:val="center"/>
              <w:rPr>
                <w:color w:val="auto"/>
                <w:sz w:val="24"/>
              </w:rPr>
            </w:pPr>
            <w:r>
              <w:rPr>
                <w:rFonts w:hint="eastAsia"/>
                <w:color w:val="auto"/>
                <w:sz w:val="24"/>
              </w:rPr>
              <w:t>8</w:t>
            </w:r>
          </w:p>
        </w:tc>
        <w:tc>
          <w:tcPr>
            <w:tcW w:w="521" w:type="pct"/>
            <w:vAlign w:val="center"/>
          </w:tcPr>
          <w:p>
            <w:pPr>
              <w:jc w:val="center"/>
              <w:rPr>
                <w:color w:val="auto"/>
                <w:sz w:val="24"/>
              </w:rPr>
            </w:pPr>
            <w:r>
              <w:rPr>
                <w:color w:val="auto"/>
                <w:sz w:val="24"/>
              </w:rPr>
              <w:t>重点管控区</w:t>
            </w:r>
          </w:p>
        </w:tc>
        <w:tc>
          <w:tcPr>
            <w:tcW w:w="784" w:type="pct"/>
            <w:vAlign w:val="center"/>
          </w:tcPr>
          <w:p>
            <w:pPr>
              <w:jc w:val="center"/>
              <w:rPr>
                <w:color w:val="auto"/>
                <w:sz w:val="24"/>
              </w:rPr>
            </w:pPr>
            <w:r>
              <w:rPr>
                <w:color w:val="auto"/>
                <w:sz w:val="24"/>
              </w:rPr>
              <w:t>大神堂渔业用海区</w:t>
            </w:r>
          </w:p>
        </w:tc>
        <w:tc>
          <w:tcPr>
            <w:tcW w:w="425" w:type="pct"/>
            <w:vAlign w:val="center"/>
          </w:tcPr>
          <w:p>
            <w:pPr>
              <w:jc w:val="center"/>
              <w:rPr>
                <w:color w:val="auto"/>
                <w:sz w:val="24"/>
              </w:rPr>
            </w:pPr>
            <w:r>
              <w:rPr>
                <w:rFonts w:hint="eastAsia"/>
                <w:color w:val="auto"/>
                <w:sz w:val="24"/>
              </w:rPr>
              <w:t>TJ008BⅡ</w:t>
            </w:r>
          </w:p>
        </w:tc>
        <w:tc>
          <w:tcPr>
            <w:tcW w:w="723" w:type="pct"/>
            <w:vAlign w:val="center"/>
          </w:tcPr>
          <w:p>
            <w:pPr>
              <w:rPr>
                <w:color w:val="auto"/>
                <w:sz w:val="24"/>
              </w:rPr>
            </w:pPr>
            <w:r>
              <w:rPr>
                <w:color w:val="auto"/>
                <w:sz w:val="24"/>
              </w:rPr>
              <w:t>渔业基础设施用海，兼休闲渔业</w:t>
            </w:r>
          </w:p>
        </w:tc>
        <w:tc>
          <w:tcPr>
            <w:tcW w:w="338" w:type="pct"/>
            <w:vAlign w:val="center"/>
          </w:tcPr>
          <w:p>
            <w:pPr>
              <w:jc w:val="center"/>
              <w:rPr>
                <w:color w:val="auto"/>
                <w:sz w:val="24"/>
              </w:rPr>
            </w:pPr>
            <w:r>
              <w:rPr>
                <w:rFonts w:hint="eastAsia"/>
                <w:color w:val="auto"/>
                <w:sz w:val="24"/>
              </w:rPr>
              <w:t>二类区</w:t>
            </w:r>
          </w:p>
        </w:tc>
        <w:tc>
          <w:tcPr>
            <w:tcW w:w="267" w:type="pct"/>
            <w:vAlign w:val="center"/>
          </w:tcPr>
          <w:p>
            <w:pPr>
              <w:jc w:val="center"/>
              <w:rPr>
                <w:color w:val="auto"/>
                <w:sz w:val="24"/>
              </w:rPr>
            </w:pPr>
            <w:r>
              <w:rPr>
                <w:rFonts w:hint="eastAsia"/>
                <w:color w:val="auto"/>
                <w:sz w:val="24"/>
              </w:rPr>
              <w:t>二</w:t>
            </w:r>
            <w:r>
              <w:rPr>
                <w:color w:val="auto"/>
                <w:sz w:val="24"/>
              </w:rPr>
              <w:t>类</w:t>
            </w:r>
          </w:p>
        </w:tc>
        <w:tc>
          <w:tcPr>
            <w:tcW w:w="1743" w:type="pct"/>
            <w:vAlign w:val="center"/>
          </w:tcPr>
          <w:p>
            <w:pPr>
              <w:pStyle w:val="29"/>
              <w:jc w:val="both"/>
              <w:rPr>
                <w:rFonts w:ascii="Times New Roman"/>
                <w:color w:val="auto"/>
              </w:rPr>
            </w:pPr>
            <w:r>
              <w:rPr>
                <w:rFonts w:hint="eastAsia" w:ascii="Times New Roman"/>
                <w:color w:val="auto"/>
              </w:rPr>
              <w:t>区域保障大神堂渔港和新渔村建设等渔业基础设施，水质要求为不劣于三类。区域兼容休闲渔业，属于海水水质标准中的“水产养殖区”，水质要求为不劣于二类。因此按照高功能确定水质目标为二类。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99" w:type="pct"/>
            <w:vAlign w:val="center"/>
          </w:tcPr>
          <w:p>
            <w:pPr>
              <w:jc w:val="center"/>
              <w:rPr>
                <w:color w:val="auto"/>
                <w:sz w:val="24"/>
              </w:rPr>
            </w:pPr>
            <w:r>
              <w:rPr>
                <w:rFonts w:hint="eastAsia"/>
                <w:color w:val="auto"/>
                <w:sz w:val="24"/>
              </w:rPr>
              <w:t>9</w:t>
            </w:r>
          </w:p>
        </w:tc>
        <w:tc>
          <w:tcPr>
            <w:tcW w:w="521" w:type="pct"/>
            <w:vAlign w:val="center"/>
          </w:tcPr>
          <w:p>
            <w:pPr>
              <w:jc w:val="center"/>
              <w:rPr>
                <w:color w:val="auto"/>
                <w:sz w:val="24"/>
              </w:rPr>
            </w:pPr>
            <w:r>
              <w:rPr>
                <w:color w:val="auto"/>
                <w:sz w:val="24"/>
              </w:rPr>
              <w:t>重点管控区</w:t>
            </w:r>
          </w:p>
        </w:tc>
        <w:tc>
          <w:tcPr>
            <w:tcW w:w="784" w:type="pct"/>
            <w:vAlign w:val="center"/>
          </w:tcPr>
          <w:p>
            <w:pPr>
              <w:jc w:val="center"/>
              <w:rPr>
                <w:color w:val="auto"/>
                <w:sz w:val="24"/>
              </w:rPr>
            </w:pPr>
            <w:r>
              <w:rPr>
                <w:color w:val="auto"/>
                <w:sz w:val="24"/>
              </w:rPr>
              <w:t>中心渔港渔业用海区</w:t>
            </w:r>
          </w:p>
        </w:tc>
        <w:tc>
          <w:tcPr>
            <w:tcW w:w="425" w:type="pct"/>
            <w:vAlign w:val="center"/>
          </w:tcPr>
          <w:p>
            <w:pPr>
              <w:jc w:val="center"/>
              <w:rPr>
                <w:color w:val="auto"/>
                <w:sz w:val="24"/>
              </w:rPr>
            </w:pPr>
            <w:r>
              <w:rPr>
                <w:color w:val="auto"/>
                <w:sz w:val="24"/>
              </w:rPr>
              <w:t>TJ00</w:t>
            </w:r>
            <w:r>
              <w:rPr>
                <w:rFonts w:hint="eastAsia"/>
                <w:color w:val="auto"/>
                <w:sz w:val="24"/>
              </w:rPr>
              <w:t>9</w:t>
            </w:r>
            <w:r>
              <w:rPr>
                <w:color w:val="auto"/>
                <w:sz w:val="24"/>
              </w:rPr>
              <w:t>BⅡ</w:t>
            </w:r>
          </w:p>
        </w:tc>
        <w:tc>
          <w:tcPr>
            <w:tcW w:w="723" w:type="pct"/>
            <w:vAlign w:val="center"/>
          </w:tcPr>
          <w:p>
            <w:pPr>
              <w:rPr>
                <w:color w:val="auto"/>
                <w:sz w:val="24"/>
              </w:rPr>
            </w:pPr>
            <w:r>
              <w:rPr>
                <w:color w:val="auto"/>
                <w:sz w:val="24"/>
              </w:rPr>
              <w:t>养殖和渔业基础设施用海，兼航道用海</w:t>
            </w:r>
          </w:p>
        </w:tc>
        <w:tc>
          <w:tcPr>
            <w:tcW w:w="338" w:type="pct"/>
            <w:vAlign w:val="center"/>
          </w:tcPr>
          <w:p>
            <w:pPr>
              <w:jc w:val="center"/>
              <w:rPr>
                <w:color w:val="auto"/>
                <w:sz w:val="24"/>
              </w:rPr>
            </w:pPr>
            <w:r>
              <w:rPr>
                <w:rFonts w:hint="eastAsia"/>
                <w:color w:val="auto"/>
                <w:sz w:val="24"/>
              </w:rPr>
              <w:t>二类区</w:t>
            </w:r>
          </w:p>
        </w:tc>
        <w:tc>
          <w:tcPr>
            <w:tcW w:w="267" w:type="pct"/>
            <w:vAlign w:val="center"/>
          </w:tcPr>
          <w:p>
            <w:pPr>
              <w:jc w:val="center"/>
              <w:rPr>
                <w:color w:val="auto"/>
                <w:sz w:val="24"/>
              </w:rPr>
            </w:pPr>
            <w:r>
              <w:rPr>
                <w:color w:val="auto"/>
                <w:sz w:val="24"/>
              </w:rPr>
              <w:t>二类</w:t>
            </w:r>
          </w:p>
        </w:tc>
        <w:tc>
          <w:tcPr>
            <w:tcW w:w="1743" w:type="pct"/>
            <w:vAlign w:val="center"/>
          </w:tcPr>
          <w:p>
            <w:pPr>
              <w:pStyle w:val="29"/>
              <w:jc w:val="both"/>
              <w:rPr>
                <w:rFonts w:ascii="Times New Roman"/>
                <w:color w:val="auto"/>
              </w:rPr>
            </w:pPr>
            <w:r>
              <w:rPr>
                <w:rFonts w:hint="eastAsia" w:ascii="Times New Roman"/>
                <w:color w:val="auto"/>
              </w:rPr>
              <w:t>区域保障中心渔港、水产资源增殖站等渔业基础设施，水质要求为不劣于三类。区域兼容航道用海，水质要求为不劣于三类。区域开展渔业养殖，水质要求为不劣于二类。因此按照高功能确定水质目标为二类。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99" w:type="pct"/>
            <w:vAlign w:val="center"/>
          </w:tcPr>
          <w:p>
            <w:pPr>
              <w:jc w:val="center"/>
              <w:rPr>
                <w:color w:val="auto"/>
                <w:sz w:val="24"/>
              </w:rPr>
            </w:pPr>
            <w:r>
              <w:rPr>
                <w:rFonts w:hint="eastAsia"/>
                <w:color w:val="auto"/>
                <w:sz w:val="24"/>
              </w:rPr>
              <w:t>10</w:t>
            </w:r>
          </w:p>
        </w:tc>
        <w:tc>
          <w:tcPr>
            <w:tcW w:w="521" w:type="pct"/>
            <w:vAlign w:val="center"/>
          </w:tcPr>
          <w:p>
            <w:pPr>
              <w:jc w:val="center"/>
              <w:rPr>
                <w:color w:val="auto"/>
                <w:sz w:val="24"/>
              </w:rPr>
            </w:pPr>
            <w:r>
              <w:rPr>
                <w:color w:val="auto"/>
                <w:sz w:val="24"/>
              </w:rPr>
              <w:t>重点管控区</w:t>
            </w:r>
          </w:p>
        </w:tc>
        <w:tc>
          <w:tcPr>
            <w:tcW w:w="784" w:type="pct"/>
            <w:vAlign w:val="center"/>
          </w:tcPr>
          <w:p>
            <w:pPr>
              <w:jc w:val="center"/>
              <w:rPr>
                <w:color w:val="auto"/>
                <w:sz w:val="24"/>
              </w:rPr>
            </w:pPr>
            <w:r>
              <w:rPr>
                <w:color w:val="auto"/>
                <w:sz w:val="24"/>
              </w:rPr>
              <w:t>汉沽浅海渔业用海区</w:t>
            </w:r>
          </w:p>
        </w:tc>
        <w:tc>
          <w:tcPr>
            <w:tcW w:w="425" w:type="pct"/>
            <w:vAlign w:val="center"/>
          </w:tcPr>
          <w:p>
            <w:pPr>
              <w:jc w:val="center"/>
              <w:rPr>
                <w:color w:val="auto"/>
                <w:sz w:val="24"/>
              </w:rPr>
            </w:pPr>
            <w:r>
              <w:rPr>
                <w:color w:val="auto"/>
                <w:sz w:val="24"/>
              </w:rPr>
              <w:t>TJ0</w:t>
            </w:r>
            <w:r>
              <w:rPr>
                <w:rFonts w:hint="eastAsia"/>
                <w:color w:val="auto"/>
                <w:sz w:val="24"/>
              </w:rPr>
              <w:t>10</w:t>
            </w:r>
            <w:r>
              <w:rPr>
                <w:color w:val="auto"/>
                <w:sz w:val="24"/>
              </w:rPr>
              <w:t>BⅡ</w:t>
            </w:r>
          </w:p>
        </w:tc>
        <w:tc>
          <w:tcPr>
            <w:tcW w:w="723" w:type="pct"/>
            <w:vAlign w:val="center"/>
          </w:tcPr>
          <w:p>
            <w:pPr>
              <w:rPr>
                <w:color w:val="auto"/>
                <w:sz w:val="24"/>
              </w:rPr>
            </w:pPr>
            <w:r>
              <w:rPr>
                <w:color w:val="auto"/>
                <w:sz w:val="24"/>
              </w:rPr>
              <w:t>养殖用海，人工鱼礁建设</w:t>
            </w:r>
          </w:p>
        </w:tc>
        <w:tc>
          <w:tcPr>
            <w:tcW w:w="338" w:type="pct"/>
            <w:vAlign w:val="center"/>
          </w:tcPr>
          <w:p>
            <w:pPr>
              <w:jc w:val="center"/>
              <w:rPr>
                <w:color w:val="auto"/>
                <w:sz w:val="24"/>
              </w:rPr>
            </w:pPr>
            <w:r>
              <w:rPr>
                <w:rFonts w:hint="eastAsia"/>
                <w:color w:val="auto"/>
                <w:sz w:val="24"/>
              </w:rPr>
              <w:t>二类区</w:t>
            </w:r>
          </w:p>
        </w:tc>
        <w:tc>
          <w:tcPr>
            <w:tcW w:w="267" w:type="pct"/>
            <w:vAlign w:val="center"/>
          </w:tcPr>
          <w:p>
            <w:pPr>
              <w:jc w:val="center"/>
              <w:rPr>
                <w:color w:val="auto"/>
                <w:sz w:val="24"/>
              </w:rPr>
            </w:pPr>
            <w:r>
              <w:rPr>
                <w:color w:val="auto"/>
                <w:sz w:val="24"/>
              </w:rPr>
              <w:t>二类</w:t>
            </w:r>
          </w:p>
        </w:tc>
        <w:tc>
          <w:tcPr>
            <w:tcW w:w="1743" w:type="pct"/>
            <w:vAlign w:val="center"/>
          </w:tcPr>
          <w:p>
            <w:pPr>
              <w:pStyle w:val="29"/>
              <w:jc w:val="both"/>
              <w:rPr>
                <w:rFonts w:ascii="Times New Roman"/>
                <w:color w:val="auto"/>
              </w:rPr>
            </w:pPr>
            <w:r>
              <w:rPr>
                <w:rFonts w:hint="eastAsia" w:ascii="Times New Roman"/>
                <w:color w:val="auto"/>
              </w:rPr>
              <w:t>区域重点保障大神堂海域国家级海洋牧场示范区用海，适度进行底播贝类等开放式养殖和人工鱼礁建设，属于海水水质标准中的“水产养殖区”，因此水质要求为不劣于二类。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99" w:type="pct"/>
            <w:vAlign w:val="center"/>
          </w:tcPr>
          <w:p>
            <w:pPr>
              <w:jc w:val="center"/>
              <w:rPr>
                <w:color w:val="auto"/>
                <w:sz w:val="24"/>
              </w:rPr>
            </w:pPr>
            <w:r>
              <w:rPr>
                <w:rFonts w:hint="eastAsia"/>
                <w:color w:val="auto"/>
                <w:sz w:val="24"/>
              </w:rPr>
              <w:t>11</w:t>
            </w:r>
          </w:p>
        </w:tc>
        <w:tc>
          <w:tcPr>
            <w:tcW w:w="521" w:type="pct"/>
            <w:vAlign w:val="center"/>
          </w:tcPr>
          <w:p>
            <w:pPr>
              <w:jc w:val="center"/>
              <w:rPr>
                <w:color w:val="auto"/>
                <w:sz w:val="24"/>
              </w:rPr>
            </w:pPr>
            <w:r>
              <w:rPr>
                <w:color w:val="auto"/>
                <w:sz w:val="24"/>
              </w:rPr>
              <w:t>重点管控区</w:t>
            </w:r>
          </w:p>
        </w:tc>
        <w:tc>
          <w:tcPr>
            <w:tcW w:w="784" w:type="pct"/>
            <w:vAlign w:val="center"/>
          </w:tcPr>
          <w:p>
            <w:pPr>
              <w:jc w:val="center"/>
              <w:rPr>
                <w:color w:val="auto"/>
                <w:sz w:val="24"/>
              </w:rPr>
            </w:pPr>
            <w:r>
              <w:rPr>
                <w:color w:val="auto"/>
                <w:sz w:val="24"/>
              </w:rPr>
              <w:t>南港外海洋牧场渔业用海区</w:t>
            </w:r>
          </w:p>
        </w:tc>
        <w:tc>
          <w:tcPr>
            <w:tcW w:w="425" w:type="pct"/>
            <w:vAlign w:val="center"/>
          </w:tcPr>
          <w:p>
            <w:pPr>
              <w:jc w:val="center"/>
              <w:rPr>
                <w:color w:val="auto"/>
                <w:sz w:val="24"/>
              </w:rPr>
            </w:pPr>
            <w:r>
              <w:rPr>
                <w:color w:val="auto"/>
                <w:sz w:val="24"/>
              </w:rPr>
              <w:t>TJ0</w:t>
            </w:r>
            <w:r>
              <w:rPr>
                <w:rFonts w:hint="eastAsia"/>
                <w:color w:val="auto"/>
                <w:sz w:val="24"/>
              </w:rPr>
              <w:t>11</w:t>
            </w:r>
            <w:r>
              <w:rPr>
                <w:color w:val="auto"/>
                <w:sz w:val="24"/>
              </w:rPr>
              <w:t>BⅡ</w:t>
            </w:r>
          </w:p>
        </w:tc>
        <w:tc>
          <w:tcPr>
            <w:tcW w:w="723" w:type="pct"/>
            <w:vAlign w:val="center"/>
          </w:tcPr>
          <w:p>
            <w:pPr>
              <w:rPr>
                <w:color w:val="auto"/>
                <w:sz w:val="24"/>
              </w:rPr>
            </w:pPr>
            <w:r>
              <w:rPr>
                <w:color w:val="auto"/>
                <w:sz w:val="24"/>
              </w:rPr>
              <w:t>养殖、渔业资源养护和捕捞作业用海</w:t>
            </w:r>
          </w:p>
        </w:tc>
        <w:tc>
          <w:tcPr>
            <w:tcW w:w="338" w:type="pct"/>
            <w:vAlign w:val="center"/>
          </w:tcPr>
          <w:p>
            <w:pPr>
              <w:jc w:val="center"/>
              <w:rPr>
                <w:color w:val="auto"/>
                <w:sz w:val="24"/>
              </w:rPr>
            </w:pPr>
            <w:r>
              <w:rPr>
                <w:rFonts w:hint="eastAsia"/>
                <w:color w:val="auto"/>
                <w:sz w:val="24"/>
              </w:rPr>
              <w:t>二类区</w:t>
            </w:r>
          </w:p>
        </w:tc>
        <w:tc>
          <w:tcPr>
            <w:tcW w:w="267" w:type="pct"/>
            <w:vAlign w:val="center"/>
          </w:tcPr>
          <w:p>
            <w:pPr>
              <w:jc w:val="center"/>
              <w:rPr>
                <w:color w:val="auto"/>
                <w:sz w:val="24"/>
              </w:rPr>
            </w:pPr>
            <w:r>
              <w:rPr>
                <w:color w:val="auto"/>
                <w:sz w:val="24"/>
              </w:rPr>
              <w:t>二类</w:t>
            </w:r>
          </w:p>
        </w:tc>
        <w:tc>
          <w:tcPr>
            <w:tcW w:w="1743" w:type="pct"/>
            <w:vAlign w:val="center"/>
          </w:tcPr>
          <w:p>
            <w:pPr>
              <w:pStyle w:val="29"/>
              <w:jc w:val="both"/>
              <w:rPr>
                <w:rFonts w:ascii="Times New Roman"/>
                <w:bCs/>
                <w:color w:val="auto"/>
                <w:szCs w:val="32"/>
              </w:rPr>
            </w:pPr>
            <w:r>
              <w:rPr>
                <w:rFonts w:hint="eastAsia" w:ascii="Times New Roman"/>
                <w:bCs/>
                <w:color w:val="auto"/>
                <w:szCs w:val="32"/>
              </w:rPr>
              <w:t>区域适度开展养殖用海、渔业资源养护和捕捞作业活动，建设现代化海洋牧场，属于海水水质标准中的“水产养殖区”，因此水质要求为不劣于二类。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99" w:type="pct"/>
            <w:vAlign w:val="center"/>
          </w:tcPr>
          <w:p>
            <w:pPr>
              <w:jc w:val="center"/>
              <w:rPr>
                <w:color w:val="auto"/>
                <w:sz w:val="24"/>
              </w:rPr>
            </w:pPr>
            <w:r>
              <w:rPr>
                <w:rFonts w:hint="eastAsia"/>
                <w:color w:val="auto"/>
                <w:sz w:val="24"/>
              </w:rPr>
              <w:t>12</w:t>
            </w:r>
          </w:p>
        </w:tc>
        <w:tc>
          <w:tcPr>
            <w:tcW w:w="521" w:type="pct"/>
            <w:vAlign w:val="center"/>
          </w:tcPr>
          <w:p>
            <w:pPr>
              <w:jc w:val="center"/>
              <w:rPr>
                <w:color w:val="auto"/>
                <w:sz w:val="24"/>
              </w:rPr>
            </w:pPr>
            <w:r>
              <w:rPr>
                <w:color w:val="auto"/>
                <w:sz w:val="24"/>
              </w:rPr>
              <w:t>重点管控区</w:t>
            </w:r>
          </w:p>
        </w:tc>
        <w:tc>
          <w:tcPr>
            <w:tcW w:w="784" w:type="pct"/>
            <w:vAlign w:val="center"/>
          </w:tcPr>
          <w:p>
            <w:pPr>
              <w:jc w:val="center"/>
              <w:rPr>
                <w:color w:val="auto"/>
                <w:sz w:val="24"/>
              </w:rPr>
            </w:pPr>
            <w:r>
              <w:rPr>
                <w:color w:val="auto"/>
                <w:sz w:val="24"/>
              </w:rPr>
              <w:t>中心渔港</w:t>
            </w:r>
            <w:r>
              <w:rPr>
                <w:rFonts w:hint="eastAsia"/>
                <w:color w:val="auto"/>
                <w:sz w:val="24"/>
              </w:rPr>
              <w:t>北</w:t>
            </w:r>
            <w:r>
              <w:rPr>
                <w:color w:val="auto"/>
                <w:sz w:val="24"/>
              </w:rPr>
              <w:t>游憩用海区</w:t>
            </w:r>
          </w:p>
        </w:tc>
        <w:tc>
          <w:tcPr>
            <w:tcW w:w="425" w:type="pct"/>
            <w:vAlign w:val="center"/>
          </w:tcPr>
          <w:p>
            <w:pPr>
              <w:jc w:val="center"/>
              <w:rPr>
                <w:color w:val="auto"/>
                <w:sz w:val="24"/>
              </w:rPr>
            </w:pPr>
            <w:r>
              <w:rPr>
                <w:color w:val="auto"/>
                <w:sz w:val="24"/>
              </w:rPr>
              <w:t>TJ0</w:t>
            </w:r>
            <w:r>
              <w:rPr>
                <w:rFonts w:hint="eastAsia"/>
                <w:color w:val="auto"/>
                <w:sz w:val="24"/>
              </w:rPr>
              <w:t>12C</w:t>
            </w:r>
            <w:r>
              <w:rPr>
                <w:color w:val="auto"/>
                <w:sz w:val="24"/>
              </w:rPr>
              <w:t>Ⅱ</w:t>
            </w:r>
          </w:p>
        </w:tc>
        <w:tc>
          <w:tcPr>
            <w:tcW w:w="723" w:type="pct"/>
            <w:vAlign w:val="center"/>
          </w:tcPr>
          <w:p>
            <w:pPr>
              <w:rPr>
                <w:color w:val="auto"/>
                <w:sz w:val="24"/>
              </w:rPr>
            </w:pPr>
            <w:r>
              <w:rPr>
                <w:color w:val="auto"/>
                <w:sz w:val="24"/>
              </w:rPr>
              <w:t>滨海旅游</w:t>
            </w:r>
          </w:p>
        </w:tc>
        <w:tc>
          <w:tcPr>
            <w:tcW w:w="338" w:type="pct"/>
            <w:vAlign w:val="center"/>
          </w:tcPr>
          <w:p>
            <w:pPr>
              <w:jc w:val="center"/>
              <w:rPr>
                <w:color w:val="auto"/>
                <w:sz w:val="24"/>
              </w:rPr>
            </w:pPr>
            <w:r>
              <w:rPr>
                <w:rFonts w:hint="eastAsia"/>
                <w:color w:val="auto"/>
                <w:sz w:val="24"/>
              </w:rPr>
              <w:t>三类区</w:t>
            </w:r>
          </w:p>
        </w:tc>
        <w:tc>
          <w:tcPr>
            <w:tcW w:w="267" w:type="pct"/>
            <w:vAlign w:val="center"/>
          </w:tcPr>
          <w:p>
            <w:pPr>
              <w:jc w:val="center"/>
              <w:rPr>
                <w:color w:val="auto"/>
                <w:sz w:val="24"/>
              </w:rPr>
            </w:pPr>
            <w:r>
              <w:rPr>
                <w:rFonts w:hint="eastAsia"/>
                <w:color w:val="auto"/>
                <w:sz w:val="24"/>
              </w:rPr>
              <w:t>二</w:t>
            </w:r>
            <w:r>
              <w:rPr>
                <w:color w:val="auto"/>
                <w:sz w:val="24"/>
              </w:rPr>
              <w:t>类</w:t>
            </w:r>
          </w:p>
        </w:tc>
        <w:tc>
          <w:tcPr>
            <w:tcW w:w="1743" w:type="pct"/>
            <w:vAlign w:val="center"/>
          </w:tcPr>
          <w:p>
            <w:pPr>
              <w:pStyle w:val="29"/>
              <w:jc w:val="both"/>
              <w:rPr>
                <w:rFonts w:ascii="Times New Roman"/>
                <w:color w:val="auto"/>
              </w:rPr>
            </w:pPr>
            <w:r>
              <w:rPr>
                <w:rFonts w:hint="eastAsia" w:ascii="Times New Roman"/>
                <w:color w:val="auto"/>
              </w:rPr>
              <w:t>区域保障公众亲水空间，适度发展以自然风景观光为主的旅游娱乐用海，属于海水水质标准中的“海滨风景旅游区”，水质要求为不劣于三类。区域近四年近岸海域水质较好，因此确定水质目标为二类。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99" w:type="pct"/>
            <w:vAlign w:val="center"/>
          </w:tcPr>
          <w:p>
            <w:pPr>
              <w:jc w:val="center"/>
              <w:rPr>
                <w:color w:val="auto"/>
                <w:sz w:val="24"/>
              </w:rPr>
            </w:pPr>
            <w:r>
              <w:rPr>
                <w:rFonts w:hint="eastAsia"/>
                <w:color w:val="auto"/>
                <w:sz w:val="24"/>
              </w:rPr>
              <w:t>13</w:t>
            </w:r>
          </w:p>
        </w:tc>
        <w:tc>
          <w:tcPr>
            <w:tcW w:w="521" w:type="pct"/>
            <w:vAlign w:val="center"/>
          </w:tcPr>
          <w:p>
            <w:pPr>
              <w:jc w:val="center"/>
              <w:rPr>
                <w:color w:val="auto"/>
                <w:sz w:val="24"/>
              </w:rPr>
            </w:pPr>
            <w:r>
              <w:rPr>
                <w:color w:val="auto"/>
                <w:sz w:val="24"/>
              </w:rPr>
              <w:t>重点管控区</w:t>
            </w:r>
          </w:p>
        </w:tc>
        <w:tc>
          <w:tcPr>
            <w:tcW w:w="784" w:type="pct"/>
            <w:vAlign w:val="center"/>
          </w:tcPr>
          <w:p>
            <w:pPr>
              <w:jc w:val="center"/>
              <w:rPr>
                <w:color w:val="auto"/>
                <w:sz w:val="24"/>
              </w:rPr>
            </w:pPr>
            <w:r>
              <w:rPr>
                <w:color w:val="auto"/>
                <w:sz w:val="24"/>
              </w:rPr>
              <w:t>中心渔港游憩用海区</w:t>
            </w:r>
          </w:p>
        </w:tc>
        <w:tc>
          <w:tcPr>
            <w:tcW w:w="425" w:type="pct"/>
            <w:vAlign w:val="center"/>
          </w:tcPr>
          <w:p>
            <w:pPr>
              <w:jc w:val="center"/>
              <w:rPr>
                <w:color w:val="auto"/>
                <w:sz w:val="24"/>
              </w:rPr>
            </w:pPr>
            <w:r>
              <w:rPr>
                <w:color w:val="auto"/>
                <w:sz w:val="24"/>
              </w:rPr>
              <w:t>TJ0</w:t>
            </w:r>
            <w:r>
              <w:rPr>
                <w:rFonts w:hint="eastAsia"/>
                <w:color w:val="auto"/>
                <w:sz w:val="24"/>
              </w:rPr>
              <w:t>13C</w:t>
            </w:r>
            <w:r>
              <w:rPr>
                <w:color w:val="auto"/>
                <w:sz w:val="24"/>
              </w:rPr>
              <w:t>Ⅱ</w:t>
            </w:r>
          </w:p>
        </w:tc>
        <w:tc>
          <w:tcPr>
            <w:tcW w:w="723" w:type="pct"/>
            <w:vAlign w:val="center"/>
          </w:tcPr>
          <w:p>
            <w:pPr>
              <w:rPr>
                <w:color w:val="auto"/>
                <w:sz w:val="24"/>
              </w:rPr>
            </w:pPr>
            <w:r>
              <w:rPr>
                <w:color w:val="auto"/>
                <w:sz w:val="24"/>
              </w:rPr>
              <w:t>滨海旅游，兼游艇、渔业、商务、旅游等一体化用海</w:t>
            </w:r>
          </w:p>
        </w:tc>
        <w:tc>
          <w:tcPr>
            <w:tcW w:w="338" w:type="pct"/>
            <w:vAlign w:val="center"/>
          </w:tcPr>
          <w:p>
            <w:pPr>
              <w:jc w:val="center"/>
              <w:rPr>
                <w:color w:val="auto"/>
                <w:sz w:val="24"/>
              </w:rPr>
            </w:pPr>
            <w:r>
              <w:rPr>
                <w:rFonts w:hint="eastAsia"/>
                <w:color w:val="auto"/>
                <w:sz w:val="24"/>
              </w:rPr>
              <w:t>三类区</w:t>
            </w:r>
          </w:p>
        </w:tc>
        <w:tc>
          <w:tcPr>
            <w:tcW w:w="267" w:type="pct"/>
            <w:vAlign w:val="center"/>
          </w:tcPr>
          <w:p>
            <w:pPr>
              <w:jc w:val="center"/>
              <w:rPr>
                <w:color w:val="auto"/>
                <w:sz w:val="24"/>
              </w:rPr>
            </w:pPr>
            <w:r>
              <w:rPr>
                <w:rFonts w:hint="eastAsia"/>
                <w:color w:val="auto"/>
                <w:sz w:val="24"/>
              </w:rPr>
              <w:t>二</w:t>
            </w:r>
            <w:r>
              <w:rPr>
                <w:color w:val="auto"/>
                <w:sz w:val="24"/>
              </w:rPr>
              <w:t>类</w:t>
            </w:r>
          </w:p>
        </w:tc>
        <w:tc>
          <w:tcPr>
            <w:tcW w:w="1743" w:type="pct"/>
            <w:vAlign w:val="center"/>
          </w:tcPr>
          <w:p>
            <w:pPr>
              <w:pStyle w:val="29"/>
              <w:jc w:val="both"/>
              <w:rPr>
                <w:rFonts w:ascii="Times New Roman"/>
                <w:color w:val="auto"/>
              </w:rPr>
            </w:pPr>
            <w:r>
              <w:rPr>
                <w:rFonts w:hint="eastAsia" w:ascii="Times New Roman"/>
                <w:color w:val="auto"/>
              </w:rPr>
              <w:t>区域</w:t>
            </w:r>
            <w:r>
              <w:rPr>
                <w:rFonts w:ascii="Times New Roman"/>
                <w:color w:val="auto"/>
              </w:rPr>
              <w:t>保</w:t>
            </w:r>
            <w:r>
              <w:rPr>
                <w:rFonts w:hint="eastAsia" w:ascii="Times New Roman"/>
                <w:color w:val="auto"/>
              </w:rPr>
              <w:t>障休闲娱乐用海和公众亲水空间，属于海水水质标准中的“海滨风景旅游区”，水质要求为不劣于三类。兼容渔业、旅游等一体化用途的综合型功能区，属于海水水质标准中的“水产养殖区”，水质要求为不劣于二类，且近四年近岸海域是u之较好，因此确定水质目标为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99" w:type="pct"/>
            <w:vAlign w:val="center"/>
          </w:tcPr>
          <w:p>
            <w:pPr>
              <w:jc w:val="center"/>
              <w:rPr>
                <w:color w:val="auto"/>
                <w:sz w:val="24"/>
              </w:rPr>
            </w:pPr>
            <w:r>
              <w:rPr>
                <w:rFonts w:hint="eastAsia"/>
                <w:color w:val="auto"/>
                <w:sz w:val="24"/>
              </w:rPr>
              <w:t>14</w:t>
            </w:r>
          </w:p>
        </w:tc>
        <w:tc>
          <w:tcPr>
            <w:tcW w:w="521" w:type="pct"/>
            <w:vAlign w:val="center"/>
          </w:tcPr>
          <w:p>
            <w:pPr>
              <w:jc w:val="center"/>
              <w:rPr>
                <w:color w:val="auto"/>
                <w:sz w:val="24"/>
              </w:rPr>
            </w:pPr>
            <w:r>
              <w:rPr>
                <w:color w:val="auto"/>
                <w:sz w:val="24"/>
              </w:rPr>
              <w:t>重点管控区</w:t>
            </w:r>
          </w:p>
        </w:tc>
        <w:tc>
          <w:tcPr>
            <w:tcW w:w="784" w:type="pct"/>
            <w:vAlign w:val="center"/>
          </w:tcPr>
          <w:p>
            <w:pPr>
              <w:jc w:val="center"/>
              <w:rPr>
                <w:color w:val="auto"/>
                <w:sz w:val="24"/>
              </w:rPr>
            </w:pPr>
            <w:r>
              <w:rPr>
                <w:color w:val="auto"/>
                <w:sz w:val="24"/>
              </w:rPr>
              <w:t>航母主题公园游憩用海区</w:t>
            </w:r>
          </w:p>
        </w:tc>
        <w:tc>
          <w:tcPr>
            <w:tcW w:w="425" w:type="pct"/>
            <w:vAlign w:val="center"/>
          </w:tcPr>
          <w:p>
            <w:pPr>
              <w:jc w:val="center"/>
              <w:rPr>
                <w:color w:val="auto"/>
                <w:sz w:val="24"/>
              </w:rPr>
            </w:pPr>
            <w:r>
              <w:rPr>
                <w:color w:val="auto"/>
                <w:sz w:val="24"/>
              </w:rPr>
              <w:t>TJ0</w:t>
            </w:r>
            <w:r>
              <w:rPr>
                <w:rFonts w:hint="eastAsia"/>
                <w:color w:val="auto"/>
                <w:sz w:val="24"/>
              </w:rPr>
              <w:t>14C</w:t>
            </w:r>
            <w:r>
              <w:rPr>
                <w:color w:val="auto"/>
                <w:sz w:val="24"/>
              </w:rPr>
              <w:t>Ⅱ</w:t>
            </w:r>
          </w:p>
        </w:tc>
        <w:tc>
          <w:tcPr>
            <w:tcW w:w="723" w:type="pct"/>
            <w:vAlign w:val="center"/>
          </w:tcPr>
          <w:p>
            <w:pPr>
              <w:rPr>
                <w:color w:val="auto"/>
                <w:sz w:val="24"/>
              </w:rPr>
            </w:pPr>
            <w:r>
              <w:rPr>
                <w:color w:val="auto"/>
                <w:sz w:val="24"/>
              </w:rPr>
              <w:t>滨海旅游</w:t>
            </w:r>
          </w:p>
        </w:tc>
        <w:tc>
          <w:tcPr>
            <w:tcW w:w="338" w:type="pct"/>
            <w:vAlign w:val="center"/>
          </w:tcPr>
          <w:p>
            <w:pPr>
              <w:jc w:val="center"/>
              <w:rPr>
                <w:color w:val="auto"/>
                <w:sz w:val="24"/>
              </w:rPr>
            </w:pPr>
            <w:r>
              <w:rPr>
                <w:rFonts w:hint="eastAsia"/>
                <w:color w:val="auto"/>
                <w:sz w:val="24"/>
              </w:rPr>
              <w:t>三类区</w:t>
            </w:r>
          </w:p>
        </w:tc>
        <w:tc>
          <w:tcPr>
            <w:tcW w:w="267" w:type="pct"/>
            <w:vAlign w:val="center"/>
          </w:tcPr>
          <w:p>
            <w:pPr>
              <w:jc w:val="center"/>
              <w:rPr>
                <w:color w:val="auto"/>
                <w:sz w:val="24"/>
              </w:rPr>
            </w:pPr>
            <w:r>
              <w:rPr>
                <w:rFonts w:hint="eastAsia"/>
                <w:color w:val="auto"/>
                <w:sz w:val="24"/>
              </w:rPr>
              <w:t>二</w:t>
            </w:r>
            <w:r>
              <w:rPr>
                <w:color w:val="auto"/>
                <w:sz w:val="24"/>
              </w:rPr>
              <w:t>类</w:t>
            </w:r>
          </w:p>
        </w:tc>
        <w:tc>
          <w:tcPr>
            <w:tcW w:w="1743" w:type="pct"/>
            <w:vAlign w:val="center"/>
          </w:tcPr>
          <w:p>
            <w:pPr>
              <w:pStyle w:val="29"/>
              <w:tabs>
                <w:tab w:val="left" w:pos="312"/>
              </w:tabs>
              <w:jc w:val="both"/>
              <w:rPr>
                <w:rFonts w:ascii="Times New Roman"/>
                <w:color w:val="auto"/>
              </w:rPr>
            </w:pPr>
            <w:r>
              <w:rPr>
                <w:rFonts w:hint="eastAsia" w:ascii="Times New Roman"/>
                <w:bCs/>
                <w:color w:val="auto"/>
                <w:szCs w:val="32"/>
              </w:rPr>
              <w:t>区域保障航母主题公园等旅游基础设施用海，</w:t>
            </w:r>
            <w:r>
              <w:rPr>
                <w:rFonts w:hint="eastAsia" w:ascii="Times New Roman"/>
                <w:color w:val="auto"/>
              </w:rPr>
              <w:t>属于海水水质标准中的“海滨风景旅游区”，水质要求为不劣于三类。区域近四年近岸海域水质较好，因此确定水质目标为二类。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99" w:type="pct"/>
            <w:vAlign w:val="center"/>
          </w:tcPr>
          <w:p>
            <w:pPr>
              <w:jc w:val="center"/>
              <w:rPr>
                <w:color w:val="auto"/>
                <w:sz w:val="24"/>
              </w:rPr>
            </w:pPr>
            <w:r>
              <w:rPr>
                <w:rFonts w:hint="eastAsia"/>
                <w:color w:val="auto"/>
                <w:sz w:val="24"/>
              </w:rPr>
              <w:t>15</w:t>
            </w:r>
          </w:p>
        </w:tc>
        <w:tc>
          <w:tcPr>
            <w:tcW w:w="521" w:type="pct"/>
            <w:vAlign w:val="center"/>
          </w:tcPr>
          <w:p>
            <w:pPr>
              <w:jc w:val="center"/>
              <w:rPr>
                <w:color w:val="auto"/>
                <w:sz w:val="24"/>
              </w:rPr>
            </w:pPr>
            <w:r>
              <w:rPr>
                <w:color w:val="auto"/>
                <w:sz w:val="24"/>
              </w:rPr>
              <w:t>重点管控区</w:t>
            </w:r>
          </w:p>
        </w:tc>
        <w:tc>
          <w:tcPr>
            <w:tcW w:w="784" w:type="pct"/>
            <w:vAlign w:val="center"/>
          </w:tcPr>
          <w:p>
            <w:pPr>
              <w:jc w:val="center"/>
              <w:rPr>
                <w:color w:val="auto"/>
                <w:sz w:val="24"/>
              </w:rPr>
            </w:pPr>
            <w:r>
              <w:rPr>
                <w:color w:val="auto"/>
                <w:sz w:val="24"/>
              </w:rPr>
              <w:t>临海新城游憩用海区</w:t>
            </w:r>
          </w:p>
        </w:tc>
        <w:tc>
          <w:tcPr>
            <w:tcW w:w="425" w:type="pct"/>
            <w:vAlign w:val="center"/>
          </w:tcPr>
          <w:p>
            <w:pPr>
              <w:jc w:val="center"/>
              <w:rPr>
                <w:color w:val="auto"/>
                <w:sz w:val="24"/>
              </w:rPr>
            </w:pPr>
            <w:r>
              <w:rPr>
                <w:color w:val="auto"/>
                <w:sz w:val="24"/>
              </w:rPr>
              <w:t>TJ0</w:t>
            </w:r>
            <w:r>
              <w:rPr>
                <w:rFonts w:hint="eastAsia"/>
                <w:color w:val="auto"/>
                <w:sz w:val="24"/>
              </w:rPr>
              <w:t>15C</w:t>
            </w:r>
            <w:r>
              <w:rPr>
                <w:color w:val="auto"/>
                <w:sz w:val="24"/>
              </w:rPr>
              <w:t>Ⅱ</w:t>
            </w:r>
          </w:p>
        </w:tc>
        <w:tc>
          <w:tcPr>
            <w:tcW w:w="723" w:type="pct"/>
            <w:vAlign w:val="center"/>
          </w:tcPr>
          <w:p>
            <w:pPr>
              <w:rPr>
                <w:color w:val="auto"/>
                <w:sz w:val="24"/>
              </w:rPr>
            </w:pPr>
            <w:r>
              <w:rPr>
                <w:color w:val="auto"/>
                <w:sz w:val="24"/>
              </w:rPr>
              <w:t>滨海旅游，兼港口和路桥用海</w:t>
            </w:r>
          </w:p>
        </w:tc>
        <w:tc>
          <w:tcPr>
            <w:tcW w:w="338" w:type="pct"/>
            <w:vAlign w:val="center"/>
          </w:tcPr>
          <w:p>
            <w:pPr>
              <w:jc w:val="center"/>
              <w:rPr>
                <w:color w:val="auto"/>
                <w:sz w:val="24"/>
              </w:rPr>
            </w:pPr>
            <w:r>
              <w:rPr>
                <w:rFonts w:hint="eastAsia"/>
                <w:color w:val="auto"/>
                <w:sz w:val="24"/>
              </w:rPr>
              <w:t>三类区</w:t>
            </w:r>
          </w:p>
        </w:tc>
        <w:tc>
          <w:tcPr>
            <w:tcW w:w="267" w:type="pct"/>
            <w:vAlign w:val="center"/>
          </w:tcPr>
          <w:p>
            <w:pPr>
              <w:jc w:val="center"/>
              <w:rPr>
                <w:color w:val="auto"/>
                <w:sz w:val="24"/>
              </w:rPr>
            </w:pPr>
            <w:r>
              <w:rPr>
                <w:rFonts w:hint="eastAsia"/>
                <w:color w:val="auto"/>
                <w:sz w:val="24"/>
              </w:rPr>
              <w:t>二</w:t>
            </w:r>
            <w:r>
              <w:rPr>
                <w:color w:val="auto"/>
                <w:sz w:val="24"/>
              </w:rPr>
              <w:t>类</w:t>
            </w:r>
          </w:p>
        </w:tc>
        <w:tc>
          <w:tcPr>
            <w:tcW w:w="1743" w:type="pct"/>
            <w:vAlign w:val="center"/>
          </w:tcPr>
          <w:p>
            <w:pPr>
              <w:pStyle w:val="29"/>
              <w:tabs>
                <w:tab w:val="left" w:pos="312"/>
              </w:tabs>
              <w:jc w:val="both"/>
              <w:rPr>
                <w:rFonts w:ascii="Times New Roman"/>
                <w:color w:val="auto"/>
              </w:rPr>
            </w:pPr>
            <w:r>
              <w:rPr>
                <w:rFonts w:hint="eastAsia" w:ascii="Times New Roman"/>
                <w:bCs/>
                <w:color w:val="auto"/>
                <w:szCs w:val="32"/>
              </w:rPr>
              <w:t>区域保障北部生态宜居城市建设和休闲娱乐用海，</w:t>
            </w:r>
            <w:r>
              <w:rPr>
                <w:rFonts w:hint="eastAsia" w:ascii="Times New Roman"/>
                <w:color w:val="auto"/>
              </w:rPr>
              <w:t>属于海水水质标准中的“海滨风景旅游区”，水质要求为不劣于三类。</w:t>
            </w:r>
            <w:r>
              <w:rPr>
                <w:rFonts w:hint="eastAsia" w:ascii="Times New Roman"/>
                <w:bCs/>
                <w:color w:val="auto"/>
                <w:szCs w:val="32"/>
              </w:rPr>
              <w:t>兼容港口用海，</w:t>
            </w:r>
            <w:r>
              <w:rPr>
                <w:rFonts w:hint="eastAsia" w:ascii="Times New Roman"/>
                <w:color w:val="auto"/>
              </w:rPr>
              <w:t>水质要求为不劣于四类。按照高功能确定水质目标应为三类。区域近四年近岸海域水质较好，因此确定水质目标为二类。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99" w:type="pct"/>
            <w:vAlign w:val="center"/>
          </w:tcPr>
          <w:p>
            <w:pPr>
              <w:jc w:val="center"/>
              <w:rPr>
                <w:color w:val="auto"/>
                <w:sz w:val="24"/>
              </w:rPr>
            </w:pPr>
            <w:r>
              <w:rPr>
                <w:rFonts w:hint="eastAsia"/>
                <w:color w:val="auto"/>
                <w:sz w:val="24"/>
              </w:rPr>
              <w:t>16</w:t>
            </w:r>
          </w:p>
        </w:tc>
        <w:tc>
          <w:tcPr>
            <w:tcW w:w="521" w:type="pct"/>
            <w:vAlign w:val="center"/>
          </w:tcPr>
          <w:p>
            <w:pPr>
              <w:jc w:val="center"/>
              <w:rPr>
                <w:color w:val="auto"/>
                <w:sz w:val="24"/>
              </w:rPr>
            </w:pPr>
            <w:r>
              <w:rPr>
                <w:color w:val="auto"/>
                <w:sz w:val="24"/>
              </w:rPr>
              <w:t>重点管控区</w:t>
            </w:r>
          </w:p>
        </w:tc>
        <w:tc>
          <w:tcPr>
            <w:tcW w:w="784" w:type="pct"/>
            <w:vAlign w:val="center"/>
          </w:tcPr>
          <w:p>
            <w:pPr>
              <w:jc w:val="center"/>
              <w:rPr>
                <w:color w:val="auto"/>
                <w:sz w:val="24"/>
              </w:rPr>
            </w:pPr>
            <w:r>
              <w:rPr>
                <w:rFonts w:hint="eastAsia"/>
                <w:color w:val="auto"/>
                <w:sz w:val="24"/>
              </w:rPr>
              <w:t>东疆东</w:t>
            </w:r>
            <w:r>
              <w:rPr>
                <w:color w:val="auto"/>
                <w:sz w:val="24"/>
              </w:rPr>
              <w:t>游憩用海区</w:t>
            </w:r>
          </w:p>
        </w:tc>
        <w:tc>
          <w:tcPr>
            <w:tcW w:w="425" w:type="pct"/>
            <w:vAlign w:val="center"/>
          </w:tcPr>
          <w:p>
            <w:pPr>
              <w:jc w:val="center"/>
              <w:rPr>
                <w:color w:val="auto"/>
                <w:sz w:val="24"/>
              </w:rPr>
            </w:pPr>
            <w:r>
              <w:rPr>
                <w:color w:val="auto"/>
                <w:sz w:val="24"/>
              </w:rPr>
              <w:t>TJ0</w:t>
            </w:r>
            <w:r>
              <w:rPr>
                <w:rFonts w:hint="eastAsia"/>
                <w:color w:val="auto"/>
                <w:sz w:val="24"/>
              </w:rPr>
              <w:t>16C</w:t>
            </w:r>
            <w:r>
              <w:rPr>
                <w:color w:val="auto"/>
                <w:sz w:val="24"/>
              </w:rPr>
              <w:t>Ⅱ</w:t>
            </w:r>
          </w:p>
        </w:tc>
        <w:tc>
          <w:tcPr>
            <w:tcW w:w="723" w:type="pct"/>
            <w:vAlign w:val="center"/>
          </w:tcPr>
          <w:p>
            <w:pPr>
              <w:rPr>
                <w:color w:val="auto"/>
                <w:sz w:val="24"/>
              </w:rPr>
            </w:pPr>
            <w:r>
              <w:rPr>
                <w:color w:val="auto"/>
                <w:sz w:val="24"/>
              </w:rPr>
              <w:t>滨海旅游</w:t>
            </w:r>
          </w:p>
        </w:tc>
        <w:tc>
          <w:tcPr>
            <w:tcW w:w="338" w:type="pct"/>
            <w:vAlign w:val="center"/>
          </w:tcPr>
          <w:p>
            <w:pPr>
              <w:jc w:val="center"/>
              <w:rPr>
                <w:color w:val="auto"/>
                <w:sz w:val="24"/>
              </w:rPr>
            </w:pPr>
            <w:r>
              <w:rPr>
                <w:rFonts w:hint="eastAsia"/>
                <w:color w:val="auto"/>
                <w:sz w:val="24"/>
              </w:rPr>
              <w:t>三类区</w:t>
            </w:r>
          </w:p>
        </w:tc>
        <w:tc>
          <w:tcPr>
            <w:tcW w:w="267" w:type="pct"/>
            <w:vAlign w:val="center"/>
          </w:tcPr>
          <w:p>
            <w:pPr>
              <w:jc w:val="center"/>
              <w:rPr>
                <w:color w:val="auto"/>
                <w:sz w:val="24"/>
              </w:rPr>
            </w:pPr>
            <w:r>
              <w:rPr>
                <w:rFonts w:hint="eastAsia"/>
                <w:color w:val="auto"/>
                <w:sz w:val="24"/>
              </w:rPr>
              <w:t>二</w:t>
            </w:r>
            <w:r>
              <w:rPr>
                <w:color w:val="auto"/>
                <w:sz w:val="24"/>
              </w:rPr>
              <w:t>类</w:t>
            </w:r>
          </w:p>
        </w:tc>
        <w:tc>
          <w:tcPr>
            <w:tcW w:w="1743" w:type="pct"/>
            <w:vAlign w:val="center"/>
          </w:tcPr>
          <w:p>
            <w:pPr>
              <w:pStyle w:val="29"/>
              <w:tabs>
                <w:tab w:val="left" w:pos="312"/>
              </w:tabs>
              <w:jc w:val="both"/>
              <w:rPr>
                <w:rFonts w:ascii="Times New Roman"/>
                <w:color w:val="auto"/>
              </w:rPr>
            </w:pPr>
            <w:r>
              <w:rPr>
                <w:rFonts w:hint="eastAsia" w:ascii="Times New Roman"/>
                <w:bCs/>
                <w:color w:val="auto"/>
                <w:szCs w:val="32"/>
              </w:rPr>
              <w:t>区域保障休闲观光旅游用海，</w:t>
            </w:r>
            <w:r>
              <w:rPr>
                <w:rFonts w:hint="eastAsia" w:ascii="Times New Roman"/>
                <w:color w:val="auto"/>
              </w:rPr>
              <w:t>属于海水水质标准中的“海滨风景旅游区”，水质要求为不劣于三类。区域近四年近岸海域水质较好，因此确定水质目标为二类。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99" w:type="pct"/>
            <w:vAlign w:val="center"/>
          </w:tcPr>
          <w:p>
            <w:pPr>
              <w:jc w:val="center"/>
              <w:rPr>
                <w:color w:val="auto"/>
                <w:sz w:val="24"/>
              </w:rPr>
            </w:pPr>
            <w:r>
              <w:rPr>
                <w:rFonts w:hint="eastAsia"/>
                <w:color w:val="auto"/>
                <w:sz w:val="24"/>
              </w:rPr>
              <w:t>17</w:t>
            </w:r>
          </w:p>
        </w:tc>
        <w:tc>
          <w:tcPr>
            <w:tcW w:w="521" w:type="pct"/>
            <w:vAlign w:val="center"/>
          </w:tcPr>
          <w:p>
            <w:pPr>
              <w:jc w:val="center"/>
              <w:rPr>
                <w:color w:val="auto"/>
                <w:sz w:val="24"/>
              </w:rPr>
            </w:pPr>
            <w:r>
              <w:rPr>
                <w:color w:val="auto"/>
                <w:sz w:val="24"/>
              </w:rPr>
              <w:t>重点管控区</w:t>
            </w:r>
          </w:p>
        </w:tc>
        <w:tc>
          <w:tcPr>
            <w:tcW w:w="784" w:type="pct"/>
            <w:vAlign w:val="center"/>
          </w:tcPr>
          <w:p>
            <w:pPr>
              <w:jc w:val="center"/>
              <w:rPr>
                <w:color w:val="auto"/>
                <w:sz w:val="24"/>
              </w:rPr>
            </w:pPr>
            <w:r>
              <w:rPr>
                <w:color w:val="auto"/>
                <w:sz w:val="24"/>
              </w:rPr>
              <w:t>高沙岭游憩用海区</w:t>
            </w:r>
          </w:p>
        </w:tc>
        <w:tc>
          <w:tcPr>
            <w:tcW w:w="425" w:type="pct"/>
            <w:vAlign w:val="center"/>
          </w:tcPr>
          <w:p>
            <w:pPr>
              <w:jc w:val="center"/>
              <w:rPr>
                <w:color w:val="auto"/>
                <w:sz w:val="24"/>
              </w:rPr>
            </w:pPr>
            <w:r>
              <w:rPr>
                <w:color w:val="auto"/>
                <w:sz w:val="24"/>
              </w:rPr>
              <w:t>TJ0</w:t>
            </w:r>
            <w:r>
              <w:rPr>
                <w:rFonts w:hint="eastAsia"/>
                <w:color w:val="auto"/>
                <w:sz w:val="24"/>
              </w:rPr>
              <w:t>17C</w:t>
            </w:r>
            <w:r>
              <w:rPr>
                <w:color w:val="auto"/>
                <w:sz w:val="24"/>
              </w:rPr>
              <w:t>Ⅱ</w:t>
            </w:r>
          </w:p>
        </w:tc>
        <w:tc>
          <w:tcPr>
            <w:tcW w:w="723" w:type="pct"/>
            <w:vAlign w:val="center"/>
          </w:tcPr>
          <w:p>
            <w:pPr>
              <w:rPr>
                <w:color w:val="auto"/>
                <w:sz w:val="24"/>
              </w:rPr>
            </w:pPr>
            <w:r>
              <w:rPr>
                <w:color w:val="auto"/>
                <w:sz w:val="24"/>
              </w:rPr>
              <w:t>滨海旅游，兼游艇码头用海</w:t>
            </w:r>
          </w:p>
        </w:tc>
        <w:tc>
          <w:tcPr>
            <w:tcW w:w="338" w:type="pct"/>
            <w:vAlign w:val="center"/>
          </w:tcPr>
          <w:p>
            <w:pPr>
              <w:jc w:val="center"/>
              <w:rPr>
                <w:color w:val="auto"/>
                <w:sz w:val="24"/>
              </w:rPr>
            </w:pPr>
            <w:r>
              <w:rPr>
                <w:rFonts w:hint="eastAsia"/>
                <w:color w:val="auto"/>
                <w:sz w:val="24"/>
              </w:rPr>
              <w:t>三类区</w:t>
            </w:r>
          </w:p>
        </w:tc>
        <w:tc>
          <w:tcPr>
            <w:tcW w:w="267" w:type="pct"/>
            <w:vAlign w:val="center"/>
          </w:tcPr>
          <w:p>
            <w:pPr>
              <w:jc w:val="center"/>
              <w:rPr>
                <w:color w:val="auto"/>
                <w:sz w:val="24"/>
              </w:rPr>
            </w:pPr>
            <w:r>
              <w:rPr>
                <w:rFonts w:hint="eastAsia"/>
                <w:color w:val="auto"/>
                <w:sz w:val="24"/>
              </w:rPr>
              <w:t>二</w:t>
            </w:r>
            <w:r>
              <w:rPr>
                <w:color w:val="auto"/>
                <w:sz w:val="24"/>
              </w:rPr>
              <w:t>类</w:t>
            </w:r>
          </w:p>
        </w:tc>
        <w:tc>
          <w:tcPr>
            <w:tcW w:w="1743" w:type="pct"/>
            <w:vAlign w:val="center"/>
          </w:tcPr>
          <w:p>
            <w:pPr>
              <w:pStyle w:val="29"/>
              <w:jc w:val="both"/>
              <w:rPr>
                <w:rFonts w:ascii="Times New Roman"/>
                <w:color w:val="auto"/>
              </w:rPr>
            </w:pPr>
            <w:r>
              <w:rPr>
                <w:rFonts w:hint="eastAsia" w:ascii="Times New Roman"/>
                <w:color w:val="auto"/>
              </w:rPr>
              <w:t>区域计划开展滨海旅游，适度兼容游艇码头用海，属于海水水质标准中的“海滨风景旅游区”，水质要求为不劣于三类。区域近四年近岸海域水质较好，因此确定水质目标为二类。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99" w:type="pct"/>
            <w:vAlign w:val="center"/>
          </w:tcPr>
          <w:p>
            <w:pPr>
              <w:jc w:val="center"/>
              <w:rPr>
                <w:color w:val="auto"/>
                <w:sz w:val="24"/>
              </w:rPr>
            </w:pPr>
            <w:r>
              <w:rPr>
                <w:rFonts w:hint="eastAsia"/>
                <w:color w:val="auto"/>
                <w:sz w:val="24"/>
              </w:rPr>
              <w:t>18</w:t>
            </w:r>
          </w:p>
        </w:tc>
        <w:tc>
          <w:tcPr>
            <w:tcW w:w="521" w:type="pct"/>
            <w:vAlign w:val="center"/>
          </w:tcPr>
          <w:p>
            <w:pPr>
              <w:jc w:val="center"/>
              <w:rPr>
                <w:color w:val="auto"/>
                <w:sz w:val="24"/>
              </w:rPr>
            </w:pPr>
            <w:r>
              <w:rPr>
                <w:color w:val="auto"/>
                <w:sz w:val="24"/>
              </w:rPr>
              <w:t>重点管控区</w:t>
            </w:r>
          </w:p>
        </w:tc>
        <w:tc>
          <w:tcPr>
            <w:tcW w:w="784" w:type="pct"/>
            <w:vAlign w:val="center"/>
          </w:tcPr>
          <w:p>
            <w:pPr>
              <w:jc w:val="center"/>
              <w:rPr>
                <w:color w:val="auto"/>
                <w:sz w:val="24"/>
              </w:rPr>
            </w:pPr>
            <w:r>
              <w:rPr>
                <w:color w:val="auto"/>
                <w:sz w:val="24"/>
              </w:rPr>
              <w:t>北部特殊用海区</w:t>
            </w:r>
          </w:p>
        </w:tc>
        <w:tc>
          <w:tcPr>
            <w:tcW w:w="425" w:type="pct"/>
            <w:vAlign w:val="center"/>
          </w:tcPr>
          <w:p>
            <w:pPr>
              <w:jc w:val="center"/>
              <w:rPr>
                <w:color w:val="auto"/>
                <w:sz w:val="24"/>
              </w:rPr>
            </w:pPr>
            <w:r>
              <w:rPr>
                <w:color w:val="auto"/>
                <w:sz w:val="24"/>
              </w:rPr>
              <w:t>TJ0</w:t>
            </w:r>
            <w:r>
              <w:rPr>
                <w:rFonts w:hint="eastAsia"/>
                <w:color w:val="auto"/>
                <w:sz w:val="24"/>
              </w:rPr>
              <w:t>18D</w:t>
            </w:r>
            <w:r>
              <w:rPr>
                <w:color w:val="auto"/>
                <w:sz w:val="24"/>
              </w:rPr>
              <w:t>Ⅱ</w:t>
            </w:r>
          </w:p>
        </w:tc>
        <w:tc>
          <w:tcPr>
            <w:tcW w:w="723" w:type="pct"/>
            <w:vAlign w:val="center"/>
          </w:tcPr>
          <w:p>
            <w:pPr>
              <w:rPr>
                <w:color w:val="auto"/>
                <w:sz w:val="24"/>
              </w:rPr>
            </w:pPr>
            <w:r>
              <w:rPr>
                <w:color w:val="auto"/>
                <w:sz w:val="24"/>
              </w:rPr>
              <w:t>疏浚物海洋倾倒用海，兼油气开采用海</w:t>
            </w:r>
          </w:p>
        </w:tc>
        <w:tc>
          <w:tcPr>
            <w:tcW w:w="338" w:type="pct"/>
            <w:vAlign w:val="center"/>
          </w:tcPr>
          <w:p>
            <w:pPr>
              <w:jc w:val="center"/>
              <w:rPr>
                <w:color w:val="auto"/>
                <w:sz w:val="24"/>
              </w:rPr>
            </w:pPr>
            <w:r>
              <w:rPr>
                <w:rFonts w:hint="eastAsia"/>
                <w:color w:val="auto"/>
                <w:sz w:val="24"/>
              </w:rPr>
              <w:t>四类区</w:t>
            </w:r>
          </w:p>
        </w:tc>
        <w:tc>
          <w:tcPr>
            <w:tcW w:w="267" w:type="pct"/>
            <w:vAlign w:val="center"/>
          </w:tcPr>
          <w:p>
            <w:pPr>
              <w:jc w:val="center"/>
              <w:rPr>
                <w:color w:val="auto"/>
                <w:sz w:val="24"/>
              </w:rPr>
            </w:pPr>
            <w:r>
              <w:rPr>
                <w:rFonts w:hint="eastAsia"/>
                <w:color w:val="auto"/>
                <w:sz w:val="24"/>
              </w:rPr>
              <w:t>二</w:t>
            </w:r>
            <w:r>
              <w:rPr>
                <w:color w:val="auto"/>
                <w:sz w:val="24"/>
              </w:rPr>
              <w:t>类</w:t>
            </w:r>
          </w:p>
        </w:tc>
        <w:tc>
          <w:tcPr>
            <w:tcW w:w="1743" w:type="pct"/>
            <w:vAlign w:val="center"/>
          </w:tcPr>
          <w:p>
            <w:pPr>
              <w:pStyle w:val="29"/>
              <w:jc w:val="both"/>
              <w:rPr>
                <w:rFonts w:ascii="Times New Roman"/>
                <w:color w:val="auto"/>
              </w:rPr>
            </w:pPr>
            <w:r>
              <w:rPr>
                <w:rFonts w:hint="eastAsia" w:ascii="Times New Roman"/>
                <w:color w:val="auto"/>
              </w:rPr>
              <w:t>区域为倾倒区，水质要求为不劣于四类。区域近四年近岸海域水质较好，因此确定水质目标为二类。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99" w:type="pct"/>
            <w:vAlign w:val="center"/>
          </w:tcPr>
          <w:p>
            <w:pPr>
              <w:jc w:val="center"/>
              <w:rPr>
                <w:color w:val="auto"/>
                <w:sz w:val="24"/>
              </w:rPr>
            </w:pPr>
            <w:r>
              <w:rPr>
                <w:rFonts w:hint="eastAsia"/>
                <w:color w:val="auto"/>
                <w:sz w:val="24"/>
              </w:rPr>
              <w:t>19</w:t>
            </w:r>
          </w:p>
        </w:tc>
        <w:tc>
          <w:tcPr>
            <w:tcW w:w="521" w:type="pct"/>
            <w:vAlign w:val="center"/>
          </w:tcPr>
          <w:p>
            <w:pPr>
              <w:jc w:val="center"/>
              <w:rPr>
                <w:color w:val="auto"/>
                <w:sz w:val="24"/>
              </w:rPr>
            </w:pPr>
            <w:r>
              <w:rPr>
                <w:color w:val="auto"/>
                <w:sz w:val="24"/>
              </w:rPr>
              <w:t>重点管控区</w:t>
            </w:r>
          </w:p>
        </w:tc>
        <w:tc>
          <w:tcPr>
            <w:tcW w:w="784" w:type="pct"/>
            <w:vAlign w:val="center"/>
          </w:tcPr>
          <w:p>
            <w:pPr>
              <w:jc w:val="center"/>
              <w:rPr>
                <w:color w:val="auto"/>
                <w:sz w:val="24"/>
              </w:rPr>
            </w:pPr>
            <w:r>
              <w:rPr>
                <w:color w:val="auto"/>
                <w:sz w:val="24"/>
              </w:rPr>
              <w:t>南部特殊用海区</w:t>
            </w:r>
          </w:p>
        </w:tc>
        <w:tc>
          <w:tcPr>
            <w:tcW w:w="425" w:type="pct"/>
            <w:vAlign w:val="center"/>
          </w:tcPr>
          <w:p>
            <w:pPr>
              <w:jc w:val="center"/>
              <w:rPr>
                <w:color w:val="auto"/>
                <w:sz w:val="24"/>
              </w:rPr>
            </w:pPr>
            <w:r>
              <w:rPr>
                <w:color w:val="auto"/>
                <w:sz w:val="24"/>
              </w:rPr>
              <w:t>TJ0</w:t>
            </w:r>
            <w:r>
              <w:rPr>
                <w:rFonts w:hint="eastAsia"/>
                <w:color w:val="auto"/>
                <w:sz w:val="24"/>
              </w:rPr>
              <w:t>19D</w:t>
            </w:r>
            <w:r>
              <w:rPr>
                <w:color w:val="auto"/>
                <w:sz w:val="24"/>
              </w:rPr>
              <w:t>Ⅱ</w:t>
            </w:r>
          </w:p>
        </w:tc>
        <w:tc>
          <w:tcPr>
            <w:tcW w:w="723" w:type="pct"/>
            <w:vAlign w:val="center"/>
          </w:tcPr>
          <w:p>
            <w:pPr>
              <w:rPr>
                <w:color w:val="auto"/>
                <w:sz w:val="24"/>
              </w:rPr>
            </w:pPr>
            <w:r>
              <w:rPr>
                <w:color w:val="auto"/>
                <w:sz w:val="24"/>
              </w:rPr>
              <w:t>疏浚物倾倒用海</w:t>
            </w:r>
          </w:p>
        </w:tc>
        <w:tc>
          <w:tcPr>
            <w:tcW w:w="338" w:type="pct"/>
            <w:vAlign w:val="center"/>
          </w:tcPr>
          <w:p>
            <w:pPr>
              <w:jc w:val="center"/>
              <w:rPr>
                <w:color w:val="auto"/>
                <w:sz w:val="24"/>
              </w:rPr>
            </w:pPr>
            <w:r>
              <w:rPr>
                <w:rFonts w:hint="eastAsia"/>
                <w:color w:val="auto"/>
                <w:sz w:val="24"/>
              </w:rPr>
              <w:t>四类区</w:t>
            </w:r>
          </w:p>
        </w:tc>
        <w:tc>
          <w:tcPr>
            <w:tcW w:w="267" w:type="pct"/>
            <w:vAlign w:val="center"/>
          </w:tcPr>
          <w:p>
            <w:pPr>
              <w:jc w:val="center"/>
              <w:rPr>
                <w:color w:val="auto"/>
                <w:sz w:val="24"/>
              </w:rPr>
            </w:pPr>
            <w:r>
              <w:rPr>
                <w:rFonts w:hint="eastAsia"/>
                <w:color w:val="auto"/>
                <w:sz w:val="24"/>
              </w:rPr>
              <w:t>二</w:t>
            </w:r>
            <w:r>
              <w:rPr>
                <w:color w:val="auto"/>
                <w:sz w:val="24"/>
              </w:rPr>
              <w:t>类</w:t>
            </w:r>
          </w:p>
        </w:tc>
        <w:tc>
          <w:tcPr>
            <w:tcW w:w="1743" w:type="pct"/>
            <w:vAlign w:val="center"/>
          </w:tcPr>
          <w:p>
            <w:pPr>
              <w:pStyle w:val="29"/>
              <w:tabs>
                <w:tab w:val="left" w:pos="312"/>
              </w:tabs>
              <w:jc w:val="both"/>
              <w:rPr>
                <w:rFonts w:ascii="Times New Roman"/>
                <w:color w:val="auto"/>
              </w:rPr>
            </w:pPr>
            <w:r>
              <w:rPr>
                <w:rFonts w:hint="eastAsia" w:ascii="Times New Roman"/>
                <w:color w:val="auto"/>
              </w:rPr>
              <w:t>区域为倾倒区，水质要求为不劣于四类。区域近四年近岸海域水质较好，因此确定水质目标为二类。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99" w:type="pct"/>
            <w:vAlign w:val="center"/>
          </w:tcPr>
          <w:p>
            <w:pPr>
              <w:jc w:val="center"/>
              <w:rPr>
                <w:color w:val="auto"/>
                <w:sz w:val="24"/>
              </w:rPr>
            </w:pPr>
            <w:r>
              <w:rPr>
                <w:rFonts w:hint="eastAsia"/>
                <w:color w:val="auto"/>
                <w:sz w:val="24"/>
              </w:rPr>
              <w:t>20</w:t>
            </w:r>
          </w:p>
        </w:tc>
        <w:tc>
          <w:tcPr>
            <w:tcW w:w="521" w:type="pct"/>
            <w:vAlign w:val="center"/>
          </w:tcPr>
          <w:p>
            <w:pPr>
              <w:jc w:val="center"/>
              <w:rPr>
                <w:color w:val="auto"/>
                <w:sz w:val="24"/>
                <w:highlight w:val="yellow"/>
              </w:rPr>
            </w:pPr>
            <w:r>
              <w:rPr>
                <w:color w:val="auto"/>
                <w:sz w:val="24"/>
              </w:rPr>
              <w:t>重点管控区</w:t>
            </w:r>
          </w:p>
        </w:tc>
        <w:tc>
          <w:tcPr>
            <w:tcW w:w="784" w:type="pct"/>
            <w:vAlign w:val="center"/>
          </w:tcPr>
          <w:p>
            <w:pPr>
              <w:jc w:val="center"/>
              <w:rPr>
                <w:color w:val="auto"/>
                <w:sz w:val="24"/>
              </w:rPr>
            </w:pPr>
            <w:r>
              <w:rPr>
                <w:rFonts w:hint="eastAsia"/>
                <w:color w:val="auto"/>
                <w:sz w:val="24"/>
              </w:rPr>
              <w:t>天津港北港交通运输用海区</w:t>
            </w:r>
          </w:p>
        </w:tc>
        <w:tc>
          <w:tcPr>
            <w:tcW w:w="425" w:type="pct"/>
            <w:vAlign w:val="center"/>
          </w:tcPr>
          <w:p>
            <w:pPr>
              <w:jc w:val="center"/>
              <w:rPr>
                <w:color w:val="auto"/>
                <w:sz w:val="24"/>
              </w:rPr>
            </w:pPr>
            <w:r>
              <w:rPr>
                <w:color w:val="auto"/>
                <w:sz w:val="24"/>
              </w:rPr>
              <w:t>TJ0</w:t>
            </w:r>
            <w:r>
              <w:rPr>
                <w:rFonts w:hint="eastAsia"/>
                <w:color w:val="auto"/>
                <w:sz w:val="24"/>
              </w:rPr>
              <w:t>20C</w:t>
            </w:r>
            <w:r>
              <w:rPr>
                <w:color w:val="auto"/>
                <w:sz w:val="24"/>
              </w:rPr>
              <w:t>Ⅱ</w:t>
            </w:r>
          </w:p>
        </w:tc>
        <w:tc>
          <w:tcPr>
            <w:tcW w:w="723" w:type="pct"/>
            <w:vAlign w:val="center"/>
          </w:tcPr>
          <w:p>
            <w:pPr>
              <w:rPr>
                <w:color w:val="auto"/>
                <w:sz w:val="24"/>
              </w:rPr>
            </w:pPr>
            <w:r>
              <w:rPr>
                <w:color w:val="auto"/>
                <w:sz w:val="24"/>
              </w:rPr>
              <w:t>港口、航道、锚地用海，兼油气开采、渔业基础设施及其他渔业活动用海</w:t>
            </w:r>
          </w:p>
        </w:tc>
        <w:tc>
          <w:tcPr>
            <w:tcW w:w="338" w:type="pct"/>
            <w:vAlign w:val="center"/>
          </w:tcPr>
          <w:p>
            <w:pPr>
              <w:jc w:val="center"/>
              <w:rPr>
                <w:color w:val="auto"/>
                <w:sz w:val="24"/>
              </w:rPr>
            </w:pPr>
            <w:r>
              <w:rPr>
                <w:rFonts w:hint="eastAsia"/>
                <w:color w:val="auto"/>
                <w:sz w:val="24"/>
              </w:rPr>
              <w:t>三类区</w:t>
            </w:r>
          </w:p>
        </w:tc>
        <w:tc>
          <w:tcPr>
            <w:tcW w:w="267" w:type="pct"/>
            <w:vAlign w:val="center"/>
          </w:tcPr>
          <w:p>
            <w:pPr>
              <w:jc w:val="center"/>
              <w:rPr>
                <w:color w:val="auto"/>
                <w:sz w:val="24"/>
              </w:rPr>
            </w:pPr>
            <w:r>
              <w:rPr>
                <w:rFonts w:hint="eastAsia"/>
                <w:color w:val="auto"/>
                <w:sz w:val="24"/>
              </w:rPr>
              <w:t>二类</w:t>
            </w:r>
          </w:p>
        </w:tc>
        <w:tc>
          <w:tcPr>
            <w:tcW w:w="1743" w:type="pct"/>
            <w:vAlign w:val="center"/>
          </w:tcPr>
          <w:p>
            <w:pPr>
              <w:pStyle w:val="29"/>
              <w:tabs>
                <w:tab w:val="left" w:pos="312"/>
              </w:tabs>
              <w:jc w:val="both"/>
              <w:rPr>
                <w:rFonts w:ascii="Times New Roman"/>
                <w:color w:val="auto"/>
              </w:rPr>
            </w:pPr>
            <w:r>
              <w:rPr>
                <w:rFonts w:hint="eastAsia" w:ascii="Times New Roman"/>
                <w:color w:val="auto"/>
              </w:rPr>
              <w:t>区域有港口，水质要求为不劣于四类。有航道和锚地，水质要求为不劣于三类。区域近四年近岸海域水质较好，因此确定水质目标为二类。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99" w:type="pct"/>
            <w:vAlign w:val="center"/>
          </w:tcPr>
          <w:p>
            <w:pPr>
              <w:jc w:val="center"/>
              <w:rPr>
                <w:color w:val="auto"/>
                <w:sz w:val="24"/>
              </w:rPr>
            </w:pPr>
            <w:r>
              <w:rPr>
                <w:rFonts w:hint="eastAsia"/>
                <w:color w:val="auto"/>
                <w:sz w:val="24"/>
              </w:rPr>
              <w:t>21</w:t>
            </w:r>
          </w:p>
        </w:tc>
        <w:tc>
          <w:tcPr>
            <w:tcW w:w="521" w:type="pct"/>
            <w:vAlign w:val="center"/>
          </w:tcPr>
          <w:p>
            <w:pPr>
              <w:jc w:val="center"/>
              <w:rPr>
                <w:color w:val="auto"/>
                <w:sz w:val="24"/>
              </w:rPr>
            </w:pPr>
            <w:r>
              <w:rPr>
                <w:color w:val="auto"/>
                <w:sz w:val="24"/>
              </w:rPr>
              <w:t>重点管控区</w:t>
            </w:r>
          </w:p>
        </w:tc>
        <w:tc>
          <w:tcPr>
            <w:tcW w:w="784" w:type="pct"/>
            <w:vAlign w:val="center"/>
          </w:tcPr>
          <w:p>
            <w:pPr>
              <w:jc w:val="center"/>
              <w:rPr>
                <w:color w:val="auto"/>
                <w:sz w:val="24"/>
              </w:rPr>
            </w:pPr>
            <w:r>
              <w:rPr>
                <w:color w:val="auto"/>
                <w:sz w:val="24"/>
              </w:rPr>
              <w:t>天津港主航道南侧锚地交通运输用海区</w:t>
            </w:r>
          </w:p>
        </w:tc>
        <w:tc>
          <w:tcPr>
            <w:tcW w:w="425" w:type="pct"/>
            <w:vAlign w:val="center"/>
          </w:tcPr>
          <w:p>
            <w:pPr>
              <w:jc w:val="center"/>
              <w:rPr>
                <w:color w:val="auto"/>
                <w:sz w:val="24"/>
              </w:rPr>
            </w:pPr>
            <w:r>
              <w:rPr>
                <w:color w:val="auto"/>
                <w:sz w:val="24"/>
              </w:rPr>
              <w:t>TJ0</w:t>
            </w:r>
            <w:r>
              <w:rPr>
                <w:rFonts w:hint="eastAsia"/>
                <w:color w:val="auto"/>
                <w:sz w:val="24"/>
              </w:rPr>
              <w:t>21C</w:t>
            </w:r>
            <w:r>
              <w:rPr>
                <w:color w:val="auto"/>
                <w:sz w:val="24"/>
              </w:rPr>
              <w:t>Ⅱ</w:t>
            </w:r>
          </w:p>
        </w:tc>
        <w:tc>
          <w:tcPr>
            <w:tcW w:w="723" w:type="pct"/>
            <w:vAlign w:val="center"/>
          </w:tcPr>
          <w:p>
            <w:pPr>
              <w:rPr>
                <w:color w:val="auto"/>
                <w:sz w:val="24"/>
              </w:rPr>
            </w:pPr>
            <w:r>
              <w:rPr>
                <w:color w:val="auto"/>
                <w:sz w:val="24"/>
              </w:rPr>
              <w:t>锚地用海</w:t>
            </w:r>
          </w:p>
        </w:tc>
        <w:tc>
          <w:tcPr>
            <w:tcW w:w="338" w:type="pct"/>
            <w:vAlign w:val="center"/>
          </w:tcPr>
          <w:p>
            <w:pPr>
              <w:jc w:val="center"/>
              <w:rPr>
                <w:color w:val="auto"/>
                <w:sz w:val="24"/>
              </w:rPr>
            </w:pPr>
            <w:r>
              <w:rPr>
                <w:rFonts w:hint="eastAsia"/>
                <w:color w:val="auto"/>
                <w:sz w:val="24"/>
              </w:rPr>
              <w:t>三类区</w:t>
            </w:r>
          </w:p>
        </w:tc>
        <w:tc>
          <w:tcPr>
            <w:tcW w:w="267" w:type="pct"/>
            <w:vAlign w:val="center"/>
          </w:tcPr>
          <w:p>
            <w:pPr>
              <w:jc w:val="center"/>
              <w:rPr>
                <w:color w:val="auto"/>
                <w:sz w:val="24"/>
              </w:rPr>
            </w:pPr>
            <w:r>
              <w:rPr>
                <w:rFonts w:hint="eastAsia"/>
                <w:color w:val="auto"/>
                <w:sz w:val="24"/>
              </w:rPr>
              <w:t>二类</w:t>
            </w:r>
          </w:p>
        </w:tc>
        <w:tc>
          <w:tcPr>
            <w:tcW w:w="1743" w:type="pct"/>
            <w:vAlign w:val="center"/>
          </w:tcPr>
          <w:p>
            <w:pPr>
              <w:pStyle w:val="29"/>
              <w:tabs>
                <w:tab w:val="left" w:pos="312"/>
              </w:tabs>
              <w:jc w:val="both"/>
              <w:rPr>
                <w:rFonts w:ascii="Times New Roman"/>
                <w:color w:val="auto"/>
              </w:rPr>
            </w:pPr>
            <w:r>
              <w:rPr>
                <w:rFonts w:hint="eastAsia" w:ascii="Times New Roman"/>
                <w:color w:val="auto"/>
              </w:rPr>
              <w:t>区域为锚地用海，水质要求为不劣于三类。区域近四年近岸海域水质较好，因此确定水质目标为二类。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99" w:type="pct"/>
            <w:vAlign w:val="center"/>
          </w:tcPr>
          <w:p>
            <w:pPr>
              <w:jc w:val="center"/>
              <w:rPr>
                <w:color w:val="auto"/>
                <w:sz w:val="24"/>
              </w:rPr>
            </w:pPr>
            <w:r>
              <w:rPr>
                <w:rFonts w:hint="eastAsia"/>
                <w:color w:val="auto"/>
                <w:sz w:val="24"/>
              </w:rPr>
              <w:t>22</w:t>
            </w:r>
          </w:p>
        </w:tc>
        <w:tc>
          <w:tcPr>
            <w:tcW w:w="521" w:type="pct"/>
            <w:vAlign w:val="center"/>
          </w:tcPr>
          <w:p>
            <w:pPr>
              <w:jc w:val="center"/>
              <w:rPr>
                <w:color w:val="auto"/>
                <w:sz w:val="24"/>
              </w:rPr>
            </w:pPr>
            <w:r>
              <w:rPr>
                <w:color w:val="auto"/>
                <w:sz w:val="24"/>
              </w:rPr>
              <w:t>重点管控区</w:t>
            </w:r>
          </w:p>
        </w:tc>
        <w:tc>
          <w:tcPr>
            <w:tcW w:w="784" w:type="pct"/>
            <w:vAlign w:val="center"/>
          </w:tcPr>
          <w:p>
            <w:pPr>
              <w:jc w:val="center"/>
              <w:rPr>
                <w:color w:val="auto"/>
                <w:sz w:val="24"/>
              </w:rPr>
            </w:pPr>
            <w:r>
              <w:rPr>
                <w:color w:val="auto"/>
                <w:sz w:val="24"/>
              </w:rPr>
              <w:t>天津港南港</w:t>
            </w:r>
            <w:r>
              <w:rPr>
                <w:rFonts w:hint="eastAsia"/>
                <w:color w:val="auto"/>
                <w:sz w:val="24"/>
              </w:rPr>
              <w:t>交通运输</w:t>
            </w:r>
            <w:r>
              <w:rPr>
                <w:color w:val="auto"/>
                <w:sz w:val="24"/>
              </w:rPr>
              <w:t>用海区</w:t>
            </w:r>
          </w:p>
        </w:tc>
        <w:tc>
          <w:tcPr>
            <w:tcW w:w="425" w:type="pct"/>
            <w:vAlign w:val="center"/>
          </w:tcPr>
          <w:p>
            <w:pPr>
              <w:jc w:val="center"/>
              <w:rPr>
                <w:color w:val="auto"/>
                <w:sz w:val="24"/>
              </w:rPr>
            </w:pPr>
            <w:r>
              <w:rPr>
                <w:color w:val="auto"/>
                <w:sz w:val="24"/>
              </w:rPr>
              <w:t>TJ0</w:t>
            </w:r>
            <w:r>
              <w:rPr>
                <w:rFonts w:hint="eastAsia"/>
                <w:color w:val="auto"/>
                <w:sz w:val="24"/>
              </w:rPr>
              <w:t>22</w:t>
            </w:r>
            <w:r>
              <w:rPr>
                <w:color w:val="auto"/>
                <w:sz w:val="24"/>
              </w:rPr>
              <w:t>CⅢ</w:t>
            </w:r>
          </w:p>
        </w:tc>
        <w:tc>
          <w:tcPr>
            <w:tcW w:w="723" w:type="pct"/>
            <w:vAlign w:val="center"/>
          </w:tcPr>
          <w:p>
            <w:pPr>
              <w:rPr>
                <w:color w:val="auto"/>
                <w:sz w:val="24"/>
              </w:rPr>
            </w:pPr>
            <w:r>
              <w:rPr>
                <w:color w:val="auto"/>
                <w:sz w:val="24"/>
              </w:rPr>
              <w:t>港口、航道、锚地用海，兼油气勘探开采、海上风电、海底电缆管道及深远海排放等用海及渔业用海活动</w:t>
            </w:r>
          </w:p>
        </w:tc>
        <w:tc>
          <w:tcPr>
            <w:tcW w:w="338" w:type="pct"/>
            <w:vAlign w:val="center"/>
          </w:tcPr>
          <w:p>
            <w:pPr>
              <w:jc w:val="center"/>
              <w:rPr>
                <w:color w:val="auto"/>
                <w:sz w:val="24"/>
              </w:rPr>
            </w:pPr>
            <w:r>
              <w:rPr>
                <w:rFonts w:hint="eastAsia"/>
                <w:color w:val="auto"/>
                <w:sz w:val="24"/>
              </w:rPr>
              <w:t>三类区</w:t>
            </w:r>
          </w:p>
        </w:tc>
        <w:tc>
          <w:tcPr>
            <w:tcW w:w="267" w:type="pct"/>
            <w:vAlign w:val="center"/>
          </w:tcPr>
          <w:p>
            <w:pPr>
              <w:jc w:val="center"/>
              <w:rPr>
                <w:color w:val="auto"/>
                <w:sz w:val="24"/>
              </w:rPr>
            </w:pPr>
            <w:r>
              <w:rPr>
                <w:rFonts w:hint="eastAsia"/>
                <w:color w:val="auto"/>
                <w:sz w:val="24"/>
              </w:rPr>
              <w:t>三类，局部区域执行二类</w:t>
            </w:r>
          </w:p>
        </w:tc>
        <w:tc>
          <w:tcPr>
            <w:tcW w:w="1743" w:type="pct"/>
            <w:vAlign w:val="center"/>
          </w:tcPr>
          <w:p>
            <w:pPr>
              <w:pStyle w:val="29"/>
              <w:tabs>
                <w:tab w:val="left" w:pos="312"/>
              </w:tabs>
              <w:jc w:val="both"/>
              <w:rPr>
                <w:rFonts w:ascii="Times New Roman"/>
                <w:color w:val="auto"/>
              </w:rPr>
            </w:pPr>
            <w:r>
              <w:rPr>
                <w:rFonts w:hint="eastAsia" w:ascii="Times New Roman"/>
                <w:color w:val="auto"/>
              </w:rPr>
              <w:t>区域有港口，水质要求为不劣于四类。有航道和锚地，水质要求为不劣于三类。区域内远海区域水质较好，因此远海区域水质目标定为二类，其余区域水质目标定为三类。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99" w:type="pct"/>
            <w:vAlign w:val="center"/>
          </w:tcPr>
          <w:p>
            <w:pPr>
              <w:jc w:val="center"/>
              <w:rPr>
                <w:color w:val="auto"/>
                <w:sz w:val="24"/>
              </w:rPr>
            </w:pPr>
            <w:r>
              <w:rPr>
                <w:rFonts w:hint="eastAsia"/>
                <w:color w:val="auto"/>
                <w:sz w:val="24"/>
              </w:rPr>
              <w:t>23</w:t>
            </w:r>
          </w:p>
        </w:tc>
        <w:tc>
          <w:tcPr>
            <w:tcW w:w="521" w:type="pct"/>
            <w:vAlign w:val="center"/>
          </w:tcPr>
          <w:p>
            <w:pPr>
              <w:jc w:val="center"/>
              <w:rPr>
                <w:color w:val="auto"/>
                <w:sz w:val="24"/>
              </w:rPr>
            </w:pPr>
            <w:r>
              <w:rPr>
                <w:color w:val="auto"/>
                <w:sz w:val="24"/>
              </w:rPr>
              <w:t>重点管控区</w:t>
            </w:r>
          </w:p>
        </w:tc>
        <w:tc>
          <w:tcPr>
            <w:tcW w:w="784" w:type="pct"/>
            <w:vAlign w:val="center"/>
          </w:tcPr>
          <w:p>
            <w:pPr>
              <w:jc w:val="center"/>
              <w:rPr>
                <w:color w:val="auto"/>
                <w:sz w:val="24"/>
              </w:rPr>
            </w:pPr>
            <w:r>
              <w:rPr>
                <w:color w:val="auto"/>
                <w:sz w:val="24"/>
              </w:rPr>
              <w:t>北疆电厂工矿通信用海区</w:t>
            </w:r>
          </w:p>
        </w:tc>
        <w:tc>
          <w:tcPr>
            <w:tcW w:w="425" w:type="pct"/>
            <w:vAlign w:val="center"/>
          </w:tcPr>
          <w:p>
            <w:pPr>
              <w:jc w:val="center"/>
              <w:rPr>
                <w:color w:val="auto"/>
                <w:sz w:val="24"/>
              </w:rPr>
            </w:pPr>
            <w:r>
              <w:rPr>
                <w:color w:val="auto"/>
                <w:sz w:val="24"/>
              </w:rPr>
              <w:t>TJ0</w:t>
            </w:r>
            <w:r>
              <w:rPr>
                <w:rFonts w:hint="eastAsia"/>
                <w:color w:val="auto"/>
                <w:sz w:val="24"/>
              </w:rPr>
              <w:t>23</w:t>
            </w:r>
            <w:r>
              <w:rPr>
                <w:color w:val="auto"/>
                <w:sz w:val="24"/>
              </w:rPr>
              <w:t>CⅢ</w:t>
            </w:r>
          </w:p>
        </w:tc>
        <w:tc>
          <w:tcPr>
            <w:tcW w:w="723" w:type="pct"/>
            <w:vAlign w:val="center"/>
          </w:tcPr>
          <w:p>
            <w:pPr>
              <w:rPr>
                <w:color w:val="auto"/>
                <w:sz w:val="24"/>
              </w:rPr>
            </w:pPr>
            <w:r>
              <w:rPr>
                <w:color w:val="auto"/>
                <w:sz w:val="24"/>
              </w:rPr>
              <w:t>工矿通信用海</w:t>
            </w:r>
          </w:p>
        </w:tc>
        <w:tc>
          <w:tcPr>
            <w:tcW w:w="338" w:type="pct"/>
            <w:vAlign w:val="center"/>
          </w:tcPr>
          <w:p>
            <w:pPr>
              <w:jc w:val="center"/>
              <w:rPr>
                <w:color w:val="auto"/>
                <w:sz w:val="24"/>
              </w:rPr>
            </w:pPr>
            <w:r>
              <w:rPr>
                <w:rFonts w:hint="eastAsia"/>
                <w:color w:val="auto"/>
                <w:sz w:val="24"/>
              </w:rPr>
              <w:t>三类区</w:t>
            </w:r>
          </w:p>
        </w:tc>
        <w:tc>
          <w:tcPr>
            <w:tcW w:w="267" w:type="pct"/>
            <w:vAlign w:val="center"/>
          </w:tcPr>
          <w:p>
            <w:pPr>
              <w:jc w:val="center"/>
              <w:rPr>
                <w:color w:val="auto"/>
                <w:sz w:val="24"/>
              </w:rPr>
            </w:pPr>
            <w:r>
              <w:rPr>
                <w:color w:val="auto"/>
                <w:sz w:val="24"/>
              </w:rPr>
              <w:t>三类</w:t>
            </w:r>
          </w:p>
        </w:tc>
        <w:tc>
          <w:tcPr>
            <w:tcW w:w="1743" w:type="pct"/>
            <w:vAlign w:val="center"/>
          </w:tcPr>
          <w:p>
            <w:pPr>
              <w:pStyle w:val="29"/>
              <w:jc w:val="both"/>
              <w:rPr>
                <w:rFonts w:ascii="Times New Roman"/>
                <w:color w:val="auto"/>
              </w:rPr>
            </w:pPr>
            <w:r>
              <w:rPr>
                <w:rFonts w:hint="eastAsia" w:ascii="Times New Roman"/>
                <w:color w:val="auto"/>
              </w:rPr>
              <w:t>区域主要保障北疆电厂工业取、排水安全，属于海水水质标准中的“一般工业用水区”，水质要求为不劣于三类。因此确定水质目标为三类。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99" w:type="pct"/>
            <w:vAlign w:val="center"/>
          </w:tcPr>
          <w:p>
            <w:pPr>
              <w:jc w:val="center"/>
              <w:rPr>
                <w:color w:val="auto"/>
                <w:sz w:val="24"/>
              </w:rPr>
            </w:pPr>
            <w:r>
              <w:rPr>
                <w:rFonts w:hint="eastAsia"/>
                <w:color w:val="auto"/>
                <w:sz w:val="24"/>
              </w:rPr>
              <w:t>24</w:t>
            </w:r>
          </w:p>
        </w:tc>
        <w:tc>
          <w:tcPr>
            <w:tcW w:w="521" w:type="pct"/>
            <w:vAlign w:val="center"/>
          </w:tcPr>
          <w:p>
            <w:pPr>
              <w:jc w:val="center"/>
              <w:rPr>
                <w:color w:val="auto"/>
                <w:sz w:val="24"/>
              </w:rPr>
            </w:pPr>
            <w:r>
              <w:rPr>
                <w:color w:val="auto"/>
                <w:sz w:val="24"/>
              </w:rPr>
              <w:t>重点管控区</w:t>
            </w:r>
          </w:p>
        </w:tc>
        <w:tc>
          <w:tcPr>
            <w:tcW w:w="784" w:type="pct"/>
            <w:vAlign w:val="center"/>
          </w:tcPr>
          <w:p>
            <w:pPr>
              <w:jc w:val="center"/>
              <w:rPr>
                <w:color w:val="auto"/>
                <w:sz w:val="24"/>
              </w:rPr>
            </w:pPr>
            <w:r>
              <w:rPr>
                <w:color w:val="auto"/>
                <w:sz w:val="24"/>
              </w:rPr>
              <w:t>临港北工矿通信用海区</w:t>
            </w:r>
          </w:p>
        </w:tc>
        <w:tc>
          <w:tcPr>
            <w:tcW w:w="425" w:type="pct"/>
            <w:vAlign w:val="center"/>
          </w:tcPr>
          <w:p>
            <w:pPr>
              <w:jc w:val="center"/>
              <w:rPr>
                <w:color w:val="auto"/>
                <w:sz w:val="24"/>
              </w:rPr>
            </w:pPr>
            <w:r>
              <w:rPr>
                <w:color w:val="auto"/>
                <w:sz w:val="24"/>
              </w:rPr>
              <w:t>TJ0</w:t>
            </w:r>
            <w:r>
              <w:rPr>
                <w:rFonts w:hint="eastAsia"/>
                <w:color w:val="auto"/>
                <w:sz w:val="24"/>
              </w:rPr>
              <w:t>24</w:t>
            </w:r>
            <w:r>
              <w:rPr>
                <w:color w:val="auto"/>
                <w:sz w:val="24"/>
              </w:rPr>
              <w:t>CⅢ</w:t>
            </w:r>
          </w:p>
        </w:tc>
        <w:tc>
          <w:tcPr>
            <w:tcW w:w="723" w:type="pct"/>
            <w:vAlign w:val="center"/>
          </w:tcPr>
          <w:p>
            <w:pPr>
              <w:rPr>
                <w:color w:val="auto"/>
                <w:sz w:val="24"/>
              </w:rPr>
            </w:pPr>
            <w:r>
              <w:rPr>
                <w:color w:val="auto"/>
                <w:sz w:val="24"/>
              </w:rPr>
              <w:t>工矿通信用海</w:t>
            </w:r>
          </w:p>
        </w:tc>
        <w:tc>
          <w:tcPr>
            <w:tcW w:w="338" w:type="pct"/>
            <w:vAlign w:val="center"/>
          </w:tcPr>
          <w:p>
            <w:pPr>
              <w:jc w:val="center"/>
              <w:rPr>
                <w:color w:val="auto"/>
                <w:sz w:val="24"/>
              </w:rPr>
            </w:pPr>
            <w:r>
              <w:rPr>
                <w:rFonts w:hint="eastAsia"/>
                <w:color w:val="auto"/>
                <w:sz w:val="24"/>
              </w:rPr>
              <w:t>三类区</w:t>
            </w:r>
          </w:p>
        </w:tc>
        <w:tc>
          <w:tcPr>
            <w:tcW w:w="267" w:type="pct"/>
            <w:vAlign w:val="center"/>
          </w:tcPr>
          <w:p>
            <w:pPr>
              <w:jc w:val="center"/>
              <w:rPr>
                <w:color w:val="auto"/>
                <w:sz w:val="24"/>
              </w:rPr>
            </w:pPr>
            <w:r>
              <w:rPr>
                <w:rFonts w:hint="eastAsia"/>
                <w:color w:val="auto"/>
                <w:sz w:val="24"/>
              </w:rPr>
              <w:t>三类</w:t>
            </w:r>
          </w:p>
        </w:tc>
        <w:tc>
          <w:tcPr>
            <w:tcW w:w="1743" w:type="pct"/>
            <w:vAlign w:val="center"/>
          </w:tcPr>
          <w:p>
            <w:pPr>
              <w:pStyle w:val="29"/>
              <w:jc w:val="both"/>
              <w:rPr>
                <w:rFonts w:ascii="Times New Roman"/>
                <w:color w:val="auto"/>
              </w:rPr>
            </w:pPr>
            <w:r>
              <w:rPr>
                <w:rFonts w:hint="eastAsia" w:ascii="Times New Roman"/>
                <w:color w:val="auto"/>
              </w:rPr>
              <w:t>区域为工矿通信用海，属于海水水质标准中的“一般工业用水区”，水质要求为不劣于三类。因此确定水质目标为三类。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99" w:type="pct"/>
            <w:vAlign w:val="center"/>
          </w:tcPr>
          <w:p>
            <w:pPr>
              <w:jc w:val="center"/>
              <w:rPr>
                <w:color w:val="auto"/>
                <w:sz w:val="24"/>
              </w:rPr>
            </w:pPr>
            <w:r>
              <w:rPr>
                <w:rFonts w:hint="eastAsia"/>
                <w:color w:val="auto"/>
                <w:sz w:val="24"/>
              </w:rPr>
              <w:t>25</w:t>
            </w:r>
          </w:p>
        </w:tc>
        <w:tc>
          <w:tcPr>
            <w:tcW w:w="521" w:type="pct"/>
            <w:vAlign w:val="center"/>
          </w:tcPr>
          <w:p>
            <w:pPr>
              <w:jc w:val="center"/>
              <w:rPr>
                <w:color w:val="auto"/>
                <w:sz w:val="24"/>
              </w:rPr>
            </w:pPr>
            <w:r>
              <w:rPr>
                <w:color w:val="auto"/>
                <w:sz w:val="24"/>
              </w:rPr>
              <w:t>重点管控区</w:t>
            </w:r>
          </w:p>
        </w:tc>
        <w:tc>
          <w:tcPr>
            <w:tcW w:w="784" w:type="pct"/>
            <w:vAlign w:val="center"/>
          </w:tcPr>
          <w:p>
            <w:pPr>
              <w:jc w:val="center"/>
              <w:rPr>
                <w:color w:val="auto"/>
                <w:sz w:val="24"/>
              </w:rPr>
            </w:pPr>
            <w:r>
              <w:rPr>
                <w:color w:val="auto"/>
                <w:sz w:val="24"/>
              </w:rPr>
              <w:t>临港</w:t>
            </w:r>
            <w:r>
              <w:rPr>
                <w:rFonts w:hint="eastAsia"/>
                <w:color w:val="auto"/>
                <w:sz w:val="24"/>
              </w:rPr>
              <w:t>南</w:t>
            </w:r>
            <w:r>
              <w:rPr>
                <w:color w:val="auto"/>
                <w:sz w:val="24"/>
              </w:rPr>
              <w:t>工矿通信用海区</w:t>
            </w:r>
          </w:p>
        </w:tc>
        <w:tc>
          <w:tcPr>
            <w:tcW w:w="425" w:type="pct"/>
            <w:vAlign w:val="center"/>
          </w:tcPr>
          <w:p>
            <w:pPr>
              <w:jc w:val="center"/>
              <w:rPr>
                <w:color w:val="auto"/>
                <w:sz w:val="24"/>
              </w:rPr>
            </w:pPr>
            <w:r>
              <w:rPr>
                <w:color w:val="auto"/>
                <w:sz w:val="24"/>
              </w:rPr>
              <w:t>TJ0</w:t>
            </w:r>
            <w:r>
              <w:rPr>
                <w:rFonts w:hint="eastAsia"/>
                <w:color w:val="auto"/>
                <w:sz w:val="24"/>
              </w:rPr>
              <w:t>25</w:t>
            </w:r>
            <w:r>
              <w:rPr>
                <w:color w:val="auto"/>
                <w:sz w:val="24"/>
              </w:rPr>
              <w:t>CⅢ</w:t>
            </w:r>
          </w:p>
        </w:tc>
        <w:tc>
          <w:tcPr>
            <w:tcW w:w="723" w:type="pct"/>
            <w:vAlign w:val="center"/>
          </w:tcPr>
          <w:p>
            <w:pPr>
              <w:rPr>
                <w:color w:val="auto"/>
                <w:sz w:val="24"/>
              </w:rPr>
            </w:pPr>
            <w:r>
              <w:rPr>
                <w:color w:val="auto"/>
                <w:sz w:val="24"/>
              </w:rPr>
              <w:t>工矿通信用海</w:t>
            </w:r>
          </w:p>
        </w:tc>
        <w:tc>
          <w:tcPr>
            <w:tcW w:w="338" w:type="pct"/>
            <w:vAlign w:val="center"/>
          </w:tcPr>
          <w:p>
            <w:pPr>
              <w:jc w:val="center"/>
              <w:rPr>
                <w:color w:val="auto"/>
                <w:sz w:val="24"/>
              </w:rPr>
            </w:pPr>
            <w:r>
              <w:rPr>
                <w:rFonts w:hint="eastAsia"/>
                <w:color w:val="auto"/>
                <w:sz w:val="24"/>
              </w:rPr>
              <w:t>三类区</w:t>
            </w:r>
          </w:p>
        </w:tc>
        <w:tc>
          <w:tcPr>
            <w:tcW w:w="267" w:type="pct"/>
            <w:vAlign w:val="center"/>
          </w:tcPr>
          <w:p>
            <w:pPr>
              <w:jc w:val="center"/>
              <w:rPr>
                <w:color w:val="auto"/>
                <w:sz w:val="24"/>
              </w:rPr>
            </w:pPr>
            <w:r>
              <w:rPr>
                <w:rFonts w:hint="eastAsia"/>
                <w:color w:val="auto"/>
                <w:sz w:val="24"/>
              </w:rPr>
              <w:t>三类</w:t>
            </w:r>
          </w:p>
        </w:tc>
        <w:tc>
          <w:tcPr>
            <w:tcW w:w="1743" w:type="pct"/>
            <w:vAlign w:val="center"/>
          </w:tcPr>
          <w:p>
            <w:pPr>
              <w:pStyle w:val="29"/>
              <w:jc w:val="both"/>
              <w:rPr>
                <w:rFonts w:ascii="Times New Roman"/>
                <w:color w:val="auto"/>
              </w:rPr>
            </w:pPr>
            <w:r>
              <w:rPr>
                <w:rFonts w:hint="eastAsia" w:ascii="Times New Roman"/>
                <w:color w:val="auto"/>
              </w:rPr>
              <w:t>区域为工矿通信用海，属于海水水质标准中的“一般工业用水区”，水质要求为不劣于三类。因此确定水质目标为三类。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99" w:type="pct"/>
            <w:vAlign w:val="center"/>
          </w:tcPr>
          <w:p>
            <w:pPr>
              <w:jc w:val="center"/>
              <w:rPr>
                <w:color w:val="auto"/>
                <w:sz w:val="24"/>
              </w:rPr>
            </w:pPr>
            <w:r>
              <w:rPr>
                <w:rFonts w:hint="eastAsia"/>
                <w:color w:val="auto"/>
                <w:sz w:val="24"/>
              </w:rPr>
              <w:t>26</w:t>
            </w:r>
          </w:p>
        </w:tc>
        <w:tc>
          <w:tcPr>
            <w:tcW w:w="521" w:type="pct"/>
            <w:vAlign w:val="center"/>
          </w:tcPr>
          <w:p>
            <w:pPr>
              <w:jc w:val="center"/>
              <w:rPr>
                <w:color w:val="auto"/>
                <w:sz w:val="24"/>
              </w:rPr>
            </w:pPr>
            <w:r>
              <w:rPr>
                <w:color w:val="auto"/>
                <w:sz w:val="24"/>
              </w:rPr>
              <w:t>重点管控区</w:t>
            </w:r>
          </w:p>
        </w:tc>
        <w:tc>
          <w:tcPr>
            <w:tcW w:w="784" w:type="pct"/>
            <w:vAlign w:val="center"/>
          </w:tcPr>
          <w:p>
            <w:pPr>
              <w:jc w:val="center"/>
              <w:rPr>
                <w:color w:val="auto"/>
                <w:sz w:val="24"/>
              </w:rPr>
            </w:pPr>
            <w:r>
              <w:rPr>
                <w:rFonts w:hint="eastAsia"/>
                <w:color w:val="auto"/>
                <w:sz w:val="24"/>
              </w:rPr>
              <w:t>南港东</w:t>
            </w:r>
            <w:r>
              <w:rPr>
                <w:color w:val="auto"/>
                <w:sz w:val="24"/>
              </w:rPr>
              <w:t>工矿通信用海区</w:t>
            </w:r>
          </w:p>
        </w:tc>
        <w:tc>
          <w:tcPr>
            <w:tcW w:w="425" w:type="pct"/>
            <w:vAlign w:val="center"/>
          </w:tcPr>
          <w:p>
            <w:pPr>
              <w:jc w:val="center"/>
              <w:rPr>
                <w:color w:val="auto"/>
                <w:sz w:val="24"/>
              </w:rPr>
            </w:pPr>
            <w:r>
              <w:rPr>
                <w:color w:val="auto"/>
                <w:sz w:val="24"/>
              </w:rPr>
              <w:t>TJ0</w:t>
            </w:r>
            <w:r>
              <w:rPr>
                <w:rFonts w:hint="eastAsia"/>
                <w:color w:val="auto"/>
                <w:sz w:val="24"/>
              </w:rPr>
              <w:t>26</w:t>
            </w:r>
            <w:r>
              <w:rPr>
                <w:color w:val="auto"/>
                <w:sz w:val="24"/>
              </w:rPr>
              <w:t>CⅢ</w:t>
            </w:r>
          </w:p>
        </w:tc>
        <w:tc>
          <w:tcPr>
            <w:tcW w:w="723" w:type="pct"/>
            <w:vAlign w:val="center"/>
          </w:tcPr>
          <w:p>
            <w:pPr>
              <w:rPr>
                <w:color w:val="auto"/>
                <w:sz w:val="24"/>
              </w:rPr>
            </w:pPr>
            <w:r>
              <w:rPr>
                <w:color w:val="auto"/>
                <w:sz w:val="24"/>
              </w:rPr>
              <w:t>工矿通信用海</w:t>
            </w:r>
          </w:p>
        </w:tc>
        <w:tc>
          <w:tcPr>
            <w:tcW w:w="338" w:type="pct"/>
            <w:vAlign w:val="center"/>
          </w:tcPr>
          <w:p>
            <w:pPr>
              <w:jc w:val="center"/>
              <w:rPr>
                <w:color w:val="auto"/>
                <w:sz w:val="24"/>
              </w:rPr>
            </w:pPr>
            <w:r>
              <w:rPr>
                <w:rFonts w:hint="eastAsia"/>
                <w:color w:val="auto"/>
                <w:sz w:val="24"/>
              </w:rPr>
              <w:t>三类区</w:t>
            </w:r>
          </w:p>
        </w:tc>
        <w:tc>
          <w:tcPr>
            <w:tcW w:w="267" w:type="pct"/>
            <w:vAlign w:val="center"/>
          </w:tcPr>
          <w:p>
            <w:pPr>
              <w:jc w:val="center"/>
              <w:rPr>
                <w:color w:val="auto"/>
                <w:sz w:val="24"/>
              </w:rPr>
            </w:pPr>
            <w:r>
              <w:rPr>
                <w:rFonts w:hint="eastAsia"/>
                <w:color w:val="auto"/>
                <w:sz w:val="24"/>
              </w:rPr>
              <w:t>三类</w:t>
            </w:r>
          </w:p>
        </w:tc>
        <w:tc>
          <w:tcPr>
            <w:tcW w:w="1743" w:type="pct"/>
            <w:vAlign w:val="center"/>
          </w:tcPr>
          <w:p>
            <w:pPr>
              <w:pStyle w:val="29"/>
              <w:jc w:val="both"/>
              <w:rPr>
                <w:rFonts w:ascii="Times New Roman"/>
                <w:color w:val="auto"/>
              </w:rPr>
            </w:pPr>
            <w:r>
              <w:rPr>
                <w:rFonts w:hint="eastAsia" w:ascii="Times New Roman"/>
                <w:color w:val="auto"/>
              </w:rPr>
              <w:t>区域为工矿通信用海，属于海水水质标准中的“一般工业用水区”，水质要求为不劣于三类。因此确定水质目标为三类。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99" w:type="pct"/>
            <w:vAlign w:val="center"/>
          </w:tcPr>
          <w:p>
            <w:pPr>
              <w:jc w:val="center"/>
              <w:rPr>
                <w:color w:val="auto"/>
                <w:sz w:val="24"/>
              </w:rPr>
            </w:pPr>
            <w:r>
              <w:rPr>
                <w:rFonts w:hint="eastAsia"/>
                <w:color w:val="auto"/>
                <w:sz w:val="24"/>
              </w:rPr>
              <w:t>27</w:t>
            </w:r>
          </w:p>
        </w:tc>
        <w:tc>
          <w:tcPr>
            <w:tcW w:w="521" w:type="pct"/>
            <w:vAlign w:val="center"/>
          </w:tcPr>
          <w:p>
            <w:pPr>
              <w:jc w:val="center"/>
              <w:rPr>
                <w:color w:val="auto"/>
                <w:sz w:val="24"/>
              </w:rPr>
            </w:pPr>
            <w:r>
              <w:rPr>
                <w:color w:val="auto"/>
                <w:sz w:val="24"/>
              </w:rPr>
              <w:t>重点管控区</w:t>
            </w:r>
          </w:p>
        </w:tc>
        <w:tc>
          <w:tcPr>
            <w:tcW w:w="784" w:type="pct"/>
            <w:vAlign w:val="center"/>
          </w:tcPr>
          <w:p>
            <w:pPr>
              <w:jc w:val="center"/>
              <w:rPr>
                <w:color w:val="auto"/>
                <w:sz w:val="24"/>
              </w:rPr>
            </w:pPr>
            <w:r>
              <w:rPr>
                <w:rFonts w:hint="eastAsia"/>
                <w:color w:val="auto"/>
                <w:sz w:val="24"/>
              </w:rPr>
              <w:t>中部</w:t>
            </w:r>
            <w:r>
              <w:rPr>
                <w:color w:val="auto"/>
                <w:sz w:val="24"/>
              </w:rPr>
              <w:t>特殊用海区</w:t>
            </w:r>
          </w:p>
        </w:tc>
        <w:tc>
          <w:tcPr>
            <w:tcW w:w="425" w:type="pct"/>
            <w:vAlign w:val="center"/>
          </w:tcPr>
          <w:p>
            <w:pPr>
              <w:jc w:val="center"/>
              <w:rPr>
                <w:color w:val="auto"/>
                <w:sz w:val="24"/>
              </w:rPr>
            </w:pPr>
            <w:r>
              <w:rPr>
                <w:color w:val="auto"/>
                <w:sz w:val="24"/>
              </w:rPr>
              <w:t>TJ0</w:t>
            </w:r>
            <w:r>
              <w:rPr>
                <w:rFonts w:hint="eastAsia"/>
                <w:color w:val="auto"/>
                <w:sz w:val="24"/>
              </w:rPr>
              <w:t>27D</w:t>
            </w:r>
            <w:r>
              <w:rPr>
                <w:color w:val="auto"/>
                <w:sz w:val="24"/>
              </w:rPr>
              <w:t>Ⅲ</w:t>
            </w:r>
          </w:p>
        </w:tc>
        <w:tc>
          <w:tcPr>
            <w:tcW w:w="723" w:type="pct"/>
            <w:vAlign w:val="center"/>
          </w:tcPr>
          <w:p>
            <w:pPr>
              <w:rPr>
                <w:color w:val="auto"/>
                <w:sz w:val="24"/>
              </w:rPr>
            </w:pPr>
            <w:r>
              <w:rPr>
                <w:color w:val="auto"/>
                <w:sz w:val="24"/>
              </w:rPr>
              <w:t>倾倒用海</w:t>
            </w:r>
            <w:r>
              <w:rPr>
                <w:rFonts w:hint="eastAsia"/>
                <w:color w:val="auto"/>
                <w:sz w:val="24"/>
              </w:rPr>
              <w:t>，兼交通运输用海</w:t>
            </w:r>
          </w:p>
        </w:tc>
        <w:tc>
          <w:tcPr>
            <w:tcW w:w="338" w:type="pct"/>
            <w:vAlign w:val="center"/>
          </w:tcPr>
          <w:p>
            <w:pPr>
              <w:jc w:val="center"/>
              <w:rPr>
                <w:color w:val="auto"/>
                <w:sz w:val="24"/>
              </w:rPr>
            </w:pPr>
            <w:r>
              <w:rPr>
                <w:rFonts w:hint="eastAsia"/>
                <w:color w:val="auto"/>
                <w:sz w:val="24"/>
              </w:rPr>
              <w:t>四类区</w:t>
            </w:r>
          </w:p>
        </w:tc>
        <w:tc>
          <w:tcPr>
            <w:tcW w:w="267" w:type="pct"/>
            <w:vAlign w:val="center"/>
          </w:tcPr>
          <w:p>
            <w:pPr>
              <w:jc w:val="center"/>
              <w:rPr>
                <w:color w:val="auto"/>
                <w:sz w:val="24"/>
              </w:rPr>
            </w:pPr>
            <w:r>
              <w:rPr>
                <w:rFonts w:hint="eastAsia"/>
                <w:color w:val="auto"/>
                <w:sz w:val="24"/>
              </w:rPr>
              <w:t>三类</w:t>
            </w:r>
          </w:p>
        </w:tc>
        <w:tc>
          <w:tcPr>
            <w:tcW w:w="1743" w:type="pct"/>
            <w:vAlign w:val="center"/>
          </w:tcPr>
          <w:p>
            <w:pPr>
              <w:pStyle w:val="29"/>
              <w:jc w:val="both"/>
              <w:rPr>
                <w:rFonts w:ascii="Times New Roman"/>
                <w:color w:val="auto"/>
              </w:rPr>
            </w:pPr>
            <w:r>
              <w:rPr>
                <w:rFonts w:hint="eastAsia" w:ascii="Times New Roman"/>
                <w:color w:val="auto"/>
              </w:rPr>
              <w:t>区域为倾倒区，水质要求为不劣于四类。区域近四年近岸海域水质较好，因此确定水质目标为三类。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99" w:type="pct"/>
            <w:vAlign w:val="center"/>
          </w:tcPr>
          <w:p>
            <w:pPr>
              <w:jc w:val="center"/>
              <w:rPr>
                <w:color w:val="auto"/>
                <w:sz w:val="24"/>
              </w:rPr>
            </w:pPr>
            <w:r>
              <w:rPr>
                <w:rFonts w:hint="eastAsia"/>
                <w:color w:val="auto"/>
                <w:sz w:val="24"/>
              </w:rPr>
              <w:t>28</w:t>
            </w:r>
          </w:p>
        </w:tc>
        <w:tc>
          <w:tcPr>
            <w:tcW w:w="521" w:type="pct"/>
            <w:vAlign w:val="center"/>
          </w:tcPr>
          <w:p>
            <w:pPr>
              <w:jc w:val="center"/>
              <w:rPr>
                <w:color w:val="auto"/>
                <w:sz w:val="24"/>
              </w:rPr>
            </w:pPr>
            <w:r>
              <w:rPr>
                <w:color w:val="auto"/>
                <w:sz w:val="24"/>
              </w:rPr>
              <w:t>重点管控区</w:t>
            </w:r>
          </w:p>
        </w:tc>
        <w:tc>
          <w:tcPr>
            <w:tcW w:w="784" w:type="pct"/>
            <w:vAlign w:val="center"/>
          </w:tcPr>
          <w:p>
            <w:pPr>
              <w:jc w:val="center"/>
              <w:rPr>
                <w:color w:val="auto"/>
                <w:sz w:val="24"/>
              </w:rPr>
            </w:pPr>
            <w:r>
              <w:rPr>
                <w:rFonts w:hint="eastAsia"/>
                <w:color w:val="auto"/>
                <w:sz w:val="24"/>
              </w:rPr>
              <w:t>马棚口交通运输用海区</w:t>
            </w:r>
          </w:p>
        </w:tc>
        <w:tc>
          <w:tcPr>
            <w:tcW w:w="425" w:type="pct"/>
            <w:vAlign w:val="center"/>
          </w:tcPr>
          <w:p>
            <w:pPr>
              <w:jc w:val="center"/>
              <w:rPr>
                <w:color w:val="auto"/>
                <w:sz w:val="24"/>
              </w:rPr>
            </w:pPr>
            <w:r>
              <w:rPr>
                <w:color w:val="auto"/>
                <w:sz w:val="24"/>
              </w:rPr>
              <w:t>TJ028DⅣ</w:t>
            </w:r>
          </w:p>
        </w:tc>
        <w:tc>
          <w:tcPr>
            <w:tcW w:w="723" w:type="pct"/>
            <w:vAlign w:val="center"/>
          </w:tcPr>
          <w:p>
            <w:pPr>
              <w:rPr>
                <w:color w:val="auto"/>
                <w:sz w:val="24"/>
              </w:rPr>
            </w:pPr>
            <w:r>
              <w:rPr>
                <w:rFonts w:hint="eastAsia"/>
                <w:color w:val="auto"/>
                <w:sz w:val="24"/>
              </w:rPr>
              <w:t>路桥隧道用海</w:t>
            </w:r>
          </w:p>
        </w:tc>
        <w:tc>
          <w:tcPr>
            <w:tcW w:w="338" w:type="pct"/>
            <w:vAlign w:val="center"/>
          </w:tcPr>
          <w:p>
            <w:pPr>
              <w:jc w:val="center"/>
              <w:rPr>
                <w:color w:val="auto"/>
                <w:sz w:val="24"/>
              </w:rPr>
            </w:pPr>
            <w:r>
              <w:rPr>
                <w:rFonts w:hint="eastAsia"/>
                <w:color w:val="auto"/>
                <w:sz w:val="24"/>
              </w:rPr>
              <w:t>四类区</w:t>
            </w:r>
          </w:p>
        </w:tc>
        <w:tc>
          <w:tcPr>
            <w:tcW w:w="267" w:type="pct"/>
            <w:vAlign w:val="center"/>
          </w:tcPr>
          <w:p>
            <w:pPr>
              <w:jc w:val="center"/>
              <w:rPr>
                <w:color w:val="auto"/>
                <w:sz w:val="24"/>
              </w:rPr>
            </w:pPr>
            <w:r>
              <w:rPr>
                <w:rFonts w:hint="eastAsia"/>
                <w:color w:val="auto"/>
                <w:sz w:val="24"/>
              </w:rPr>
              <w:t>四类</w:t>
            </w:r>
          </w:p>
        </w:tc>
        <w:tc>
          <w:tcPr>
            <w:tcW w:w="1743" w:type="pct"/>
            <w:vAlign w:val="center"/>
          </w:tcPr>
          <w:p>
            <w:pPr>
              <w:pStyle w:val="29"/>
              <w:jc w:val="both"/>
              <w:rPr>
                <w:rFonts w:ascii="Times New Roman"/>
                <w:color w:val="auto"/>
              </w:rPr>
            </w:pPr>
            <w:r>
              <w:rPr>
                <w:rFonts w:hint="eastAsia" w:ascii="Times New Roman"/>
                <w:color w:val="auto"/>
              </w:rPr>
              <w:t>区域为路桥用海，水质要求为维持现状，近岸海域水质现状为四类，因此确定水质目标为四类。。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99" w:type="pct"/>
            <w:vAlign w:val="center"/>
          </w:tcPr>
          <w:p>
            <w:pPr>
              <w:jc w:val="center"/>
              <w:rPr>
                <w:color w:val="auto"/>
                <w:sz w:val="24"/>
              </w:rPr>
            </w:pPr>
            <w:r>
              <w:rPr>
                <w:rFonts w:hint="eastAsia"/>
                <w:color w:val="auto"/>
                <w:sz w:val="24"/>
              </w:rPr>
              <w:t>29</w:t>
            </w:r>
          </w:p>
        </w:tc>
        <w:tc>
          <w:tcPr>
            <w:tcW w:w="521" w:type="pct"/>
            <w:vAlign w:val="center"/>
          </w:tcPr>
          <w:p>
            <w:pPr>
              <w:jc w:val="center"/>
              <w:rPr>
                <w:color w:val="auto"/>
                <w:sz w:val="24"/>
              </w:rPr>
            </w:pPr>
            <w:r>
              <w:rPr>
                <w:color w:val="auto"/>
                <w:sz w:val="24"/>
              </w:rPr>
              <w:t>一般管控区</w:t>
            </w:r>
          </w:p>
        </w:tc>
        <w:tc>
          <w:tcPr>
            <w:tcW w:w="784" w:type="pct"/>
            <w:vAlign w:val="center"/>
          </w:tcPr>
          <w:p>
            <w:pPr>
              <w:jc w:val="center"/>
              <w:rPr>
                <w:color w:val="auto"/>
                <w:sz w:val="24"/>
              </w:rPr>
            </w:pPr>
            <w:r>
              <w:rPr>
                <w:color w:val="auto"/>
                <w:sz w:val="24"/>
              </w:rPr>
              <w:t>汉沽生态控制区</w:t>
            </w:r>
          </w:p>
        </w:tc>
        <w:tc>
          <w:tcPr>
            <w:tcW w:w="425" w:type="pct"/>
            <w:vAlign w:val="center"/>
          </w:tcPr>
          <w:p>
            <w:pPr>
              <w:jc w:val="center"/>
              <w:rPr>
                <w:color w:val="auto"/>
                <w:sz w:val="24"/>
              </w:rPr>
            </w:pPr>
            <w:r>
              <w:rPr>
                <w:color w:val="auto"/>
                <w:sz w:val="24"/>
              </w:rPr>
              <w:t>TJ02</w:t>
            </w:r>
            <w:r>
              <w:rPr>
                <w:rFonts w:hint="eastAsia"/>
                <w:color w:val="auto"/>
                <w:sz w:val="24"/>
              </w:rPr>
              <w:t>9</w:t>
            </w:r>
            <w:r>
              <w:rPr>
                <w:color w:val="auto"/>
                <w:sz w:val="24"/>
              </w:rPr>
              <w:t>BⅡ</w:t>
            </w:r>
          </w:p>
        </w:tc>
        <w:tc>
          <w:tcPr>
            <w:tcW w:w="723" w:type="pct"/>
            <w:vAlign w:val="center"/>
          </w:tcPr>
          <w:p>
            <w:pPr>
              <w:rPr>
                <w:color w:val="auto"/>
                <w:sz w:val="24"/>
              </w:rPr>
            </w:pPr>
            <w:r>
              <w:rPr>
                <w:color w:val="auto"/>
                <w:sz w:val="24"/>
              </w:rPr>
              <w:t>限制开发区</w:t>
            </w:r>
          </w:p>
        </w:tc>
        <w:tc>
          <w:tcPr>
            <w:tcW w:w="338" w:type="pct"/>
            <w:vAlign w:val="center"/>
          </w:tcPr>
          <w:p>
            <w:pPr>
              <w:jc w:val="center"/>
              <w:rPr>
                <w:color w:val="auto"/>
                <w:sz w:val="24"/>
              </w:rPr>
            </w:pPr>
            <w:r>
              <w:rPr>
                <w:rFonts w:hint="eastAsia"/>
                <w:color w:val="auto"/>
                <w:sz w:val="24"/>
              </w:rPr>
              <w:t>二类区</w:t>
            </w:r>
          </w:p>
        </w:tc>
        <w:tc>
          <w:tcPr>
            <w:tcW w:w="267" w:type="pct"/>
            <w:vAlign w:val="center"/>
          </w:tcPr>
          <w:p>
            <w:pPr>
              <w:jc w:val="center"/>
              <w:rPr>
                <w:color w:val="auto"/>
                <w:sz w:val="24"/>
              </w:rPr>
            </w:pPr>
            <w:r>
              <w:rPr>
                <w:color w:val="auto"/>
                <w:sz w:val="24"/>
              </w:rPr>
              <w:t>二类</w:t>
            </w:r>
          </w:p>
        </w:tc>
        <w:tc>
          <w:tcPr>
            <w:tcW w:w="1743" w:type="pct"/>
            <w:vAlign w:val="center"/>
          </w:tcPr>
          <w:p>
            <w:pPr>
              <w:pStyle w:val="29"/>
              <w:jc w:val="both"/>
              <w:rPr>
                <w:rFonts w:ascii="Times New Roman"/>
                <w:color w:val="auto"/>
              </w:rPr>
            </w:pPr>
            <w:r>
              <w:rPr>
                <w:rFonts w:hint="eastAsia" w:ascii="Times New Roman"/>
                <w:color w:val="auto"/>
              </w:rPr>
              <w:t>需予以保留原貌、强化生态保育和生态建设、限制开发建设的海洋自然区域，因此划为二类区，确定水质目标为二类。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9" w:type="pct"/>
            <w:vAlign w:val="center"/>
          </w:tcPr>
          <w:p>
            <w:pPr>
              <w:jc w:val="center"/>
              <w:rPr>
                <w:color w:val="auto"/>
                <w:sz w:val="24"/>
              </w:rPr>
            </w:pPr>
            <w:r>
              <w:rPr>
                <w:rFonts w:hint="eastAsia"/>
                <w:color w:val="auto"/>
                <w:sz w:val="24"/>
              </w:rPr>
              <w:t>30</w:t>
            </w:r>
          </w:p>
        </w:tc>
        <w:tc>
          <w:tcPr>
            <w:tcW w:w="521" w:type="pct"/>
            <w:vAlign w:val="center"/>
          </w:tcPr>
          <w:p>
            <w:pPr>
              <w:jc w:val="center"/>
              <w:rPr>
                <w:color w:val="auto"/>
                <w:sz w:val="24"/>
              </w:rPr>
            </w:pPr>
            <w:r>
              <w:rPr>
                <w:color w:val="auto"/>
                <w:sz w:val="24"/>
              </w:rPr>
              <w:t>一般管控区</w:t>
            </w:r>
          </w:p>
        </w:tc>
        <w:tc>
          <w:tcPr>
            <w:tcW w:w="784" w:type="pct"/>
            <w:vAlign w:val="center"/>
          </w:tcPr>
          <w:p>
            <w:pPr>
              <w:jc w:val="center"/>
              <w:rPr>
                <w:color w:val="auto"/>
                <w:sz w:val="24"/>
              </w:rPr>
            </w:pPr>
            <w:r>
              <w:rPr>
                <w:color w:val="auto"/>
                <w:sz w:val="24"/>
              </w:rPr>
              <w:t>贝壳堤生态控制区</w:t>
            </w:r>
          </w:p>
        </w:tc>
        <w:tc>
          <w:tcPr>
            <w:tcW w:w="425" w:type="pct"/>
            <w:vAlign w:val="center"/>
          </w:tcPr>
          <w:p>
            <w:pPr>
              <w:jc w:val="center"/>
              <w:rPr>
                <w:color w:val="auto"/>
                <w:sz w:val="24"/>
              </w:rPr>
            </w:pPr>
            <w:r>
              <w:rPr>
                <w:color w:val="auto"/>
                <w:sz w:val="24"/>
              </w:rPr>
              <w:t>TJ0</w:t>
            </w:r>
            <w:r>
              <w:rPr>
                <w:rFonts w:hint="eastAsia"/>
                <w:color w:val="auto"/>
                <w:sz w:val="24"/>
              </w:rPr>
              <w:t>30</w:t>
            </w:r>
            <w:r>
              <w:rPr>
                <w:color w:val="auto"/>
                <w:sz w:val="24"/>
              </w:rPr>
              <w:t>BⅡ</w:t>
            </w:r>
          </w:p>
        </w:tc>
        <w:tc>
          <w:tcPr>
            <w:tcW w:w="723" w:type="pct"/>
            <w:vAlign w:val="center"/>
          </w:tcPr>
          <w:p>
            <w:pPr>
              <w:rPr>
                <w:color w:val="auto"/>
                <w:sz w:val="24"/>
              </w:rPr>
            </w:pPr>
            <w:r>
              <w:rPr>
                <w:color w:val="auto"/>
                <w:sz w:val="24"/>
              </w:rPr>
              <w:t>限制开发区</w:t>
            </w:r>
          </w:p>
        </w:tc>
        <w:tc>
          <w:tcPr>
            <w:tcW w:w="338" w:type="pct"/>
            <w:vAlign w:val="center"/>
          </w:tcPr>
          <w:p>
            <w:pPr>
              <w:jc w:val="center"/>
              <w:rPr>
                <w:color w:val="auto"/>
              </w:rPr>
            </w:pPr>
            <w:r>
              <w:rPr>
                <w:rFonts w:hint="eastAsia"/>
                <w:color w:val="auto"/>
                <w:sz w:val="24"/>
              </w:rPr>
              <w:t>二类区</w:t>
            </w:r>
          </w:p>
        </w:tc>
        <w:tc>
          <w:tcPr>
            <w:tcW w:w="267" w:type="pct"/>
            <w:vAlign w:val="center"/>
          </w:tcPr>
          <w:p>
            <w:pPr>
              <w:jc w:val="center"/>
              <w:rPr>
                <w:color w:val="auto"/>
                <w:sz w:val="24"/>
              </w:rPr>
            </w:pPr>
            <w:r>
              <w:rPr>
                <w:color w:val="auto"/>
                <w:sz w:val="24"/>
              </w:rPr>
              <w:t>二类</w:t>
            </w:r>
          </w:p>
        </w:tc>
        <w:tc>
          <w:tcPr>
            <w:tcW w:w="1743" w:type="pct"/>
            <w:vAlign w:val="center"/>
          </w:tcPr>
          <w:p>
            <w:pPr>
              <w:pStyle w:val="29"/>
              <w:jc w:val="both"/>
              <w:rPr>
                <w:rFonts w:ascii="Times New Roman"/>
                <w:color w:val="auto"/>
              </w:rPr>
            </w:pPr>
            <w:r>
              <w:rPr>
                <w:rFonts w:hint="eastAsia" w:ascii="Times New Roman"/>
                <w:color w:val="auto"/>
              </w:rPr>
              <w:t>需予以保留原貌、强化生态保育和生态建设、限制开发建设的海洋自然区域，因此划为二类区，确定水质目标为二类。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99" w:type="pct"/>
            <w:vAlign w:val="center"/>
          </w:tcPr>
          <w:p>
            <w:pPr>
              <w:jc w:val="center"/>
              <w:rPr>
                <w:color w:val="auto"/>
                <w:sz w:val="24"/>
              </w:rPr>
            </w:pPr>
            <w:r>
              <w:rPr>
                <w:rFonts w:hint="eastAsia"/>
                <w:color w:val="auto"/>
                <w:sz w:val="24"/>
              </w:rPr>
              <w:t>31</w:t>
            </w:r>
          </w:p>
        </w:tc>
        <w:tc>
          <w:tcPr>
            <w:tcW w:w="521" w:type="pct"/>
            <w:vAlign w:val="center"/>
          </w:tcPr>
          <w:p>
            <w:pPr>
              <w:jc w:val="center"/>
              <w:rPr>
                <w:color w:val="auto"/>
                <w:sz w:val="24"/>
              </w:rPr>
            </w:pPr>
            <w:r>
              <w:rPr>
                <w:color w:val="auto"/>
                <w:sz w:val="24"/>
              </w:rPr>
              <w:t>一般管控区</w:t>
            </w:r>
          </w:p>
        </w:tc>
        <w:tc>
          <w:tcPr>
            <w:tcW w:w="784" w:type="pct"/>
            <w:vAlign w:val="center"/>
          </w:tcPr>
          <w:p>
            <w:pPr>
              <w:jc w:val="center"/>
              <w:rPr>
                <w:color w:val="auto"/>
                <w:sz w:val="24"/>
              </w:rPr>
            </w:pPr>
            <w:r>
              <w:rPr>
                <w:color w:val="auto"/>
                <w:sz w:val="24"/>
              </w:rPr>
              <w:t>临海新城生态控制区</w:t>
            </w:r>
          </w:p>
        </w:tc>
        <w:tc>
          <w:tcPr>
            <w:tcW w:w="425" w:type="pct"/>
            <w:vAlign w:val="center"/>
          </w:tcPr>
          <w:p>
            <w:pPr>
              <w:jc w:val="center"/>
              <w:rPr>
                <w:color w:val="auto"/>
                <w:sz w:val="24"/>
              </w:rPr>
            </w:pPr>
            <w:r>
              <w:rPr>
                <w:color w:val="auto"/>
                <w:sz w:val="24"/>
              </w:rPr>
              <w:t>TJ0</w:t>
            </w:r>
            <w:r>
              <w:rPr>
                <w:rFonts w:hint="eastAsia"/>
                <w:color w:val="auto"/>
                <w:sz w:val="24"/>
              </w:rPr>
              <w:t>31</w:t>
            </w:r>
            <w:r>
              <w:rPr>
                <w:color w:val="auto"/>
                <w:sz w:val="24"/>
              </w:rPr>
              <w:t>BⅡ</w:t>
            </w:r>
          </w:p>
        </w:tc>
        <w:tc>
          <w:tcPr>
            <w:tcW w:w="723" w:type="pct"/>
            <w:vAlign w:val="center"/>
          </w:tcPr>
          <w:p>
            <w:pPr>
              <w:rPr>
                <w:color w:val="auto"/>
                <w:sz w:val="24"/>
              </w:rPr>
            </w:pPr>
            <w:r>
              <w:rPr>
                <w:color w:val="auto"/>
                <w:sz w:val="24"/>
              </w:rPr>
              <w:t>限制开发区</w:t>
            </w:r>
          </w:p>
        </w:tc>
        <w:tc>
          <w:tcPr>
            <w:tcW w:w="338" w:type="pct"/>
            <w:vAlign w:val="center"/>
          </w:tcPr>
          <w:p>
            <w:pPr>
              <w:jc w:val="center"/>
              <w:rPr>
                <w:color w:val="auto"/>
              </w:rPr>
            </w:pPr>
            <w:r>
              <w:rPr>
                <w:rFonts w:hint="eastAsia"/>
                <w:color w:val="auto"/>
                <w:sz w:val="24"/>
              </w:rPr>
              <w:t>二类区</w:t>
            </w:r>
          </w:p>
        </w:tc>
        <w:tc>
          <w:tcPr>
            <w:tcW w:w="267" w:type="pct"/>
            <w:vAlign w:val="center"/>
          </w:tcPr>
          <w:p>
            <w:pPr>
              <w:jc w:val="center"/>
              <w:rPr>
                <w:color w:val="auto"/>
                <w:sz w:val="24"/>
              </w:rPr>
            </w:pPr>
            <w:r>
              <w:rPr>
                <w:color w:val="auto"/>
                <w:sz w:val="24"/>
              </w:rPr>
              <w:t>二类</w:t>
            </w:r>
          </w:p>
        </w:tc>
        <w:tc>
          <w:tcPr>
            <w:tcW w:w="1743" w:type="pct"/>
            <w:vAlign w:val="center"/>
          </w:tcPr>
          <w:p>
            <w:pPr>
              <w:pStyle w:val="29"/>
              <w:jc w:val="both"/>
              <w:rPr>
                <w:rFonts w:ascii="Times New Roman"/>
                <w:color w:val="auto"/>
              </w:rPr>
            </w:pPr>
            <w:r>
              <w:rPr>
                <w:rFonts w:hint="eastAsia" w:ascii="Times New Roman"/>
                <w:color w:val="auto"/>
              </w:rPr>
              <w:t>需予以保留原貌、强化生态保育和生态建设、限制开发建设的海洋自然区域，因此划为二类区，确定水质目标为二类。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99" w:type="pct"/>
            <w:vAlign w:val="center"/>
          </w:tcPr>
          <w:p>
            <w:pPr>
              <w:jc w:val="center"/>
              <w:rPr>
                <w:color w:val="auto"/>
                <w:sz w:val="24"/>
              </w:rPr>
            </w:pPr>
            <w:r>
              <w:rPr>
                <w:rFonts w:hint="eastAsia"/>
                <w:color w:val="auto"/>
                <w:sz w:val="24"/>
              </w:rPr>
              <w:t>32</w:t>
            </w:r>
          </w:p>
        </w:tc>
        <w:tc>
          <w:tcPr>
            <w:tcW w:w="521" w:type="pct"/>
            <w:vAlign w:val="center"/>
          </w:tcPr>
          <w:p>
            <w:pPr>
              <w:jc w:val="center"/>
              <w:rPr>
                <w:color w:val="auto"/>
                <w:sz w:val="24"/>
              </w:rPr>
            </w:pPr>
            <w:r>
              <w:rPr>
                <w:color w:val="auto"/>
                <w:sz w:val="24"/>
              </w:rPr>
              <w:t>一般管控区</w:t>
            </w:r>
          </w:p>
        </w:tc>
        <w:tc>
          <w:tcPr>
            <w:tcW w:w="784" w:type="pct"/>
            <w:vAlign w:val="center"/>
          </w:tcPr>
          <w:p>
            <w:pPr>
              <w:jc w:val="center"/>
              <w:rPr>
                <w:color w:val="auto"/>
                <w:sz w:val="24"/>
              </w:rPr>
            </w:pPr>
            <w:r>
              <w:rPr>
                <w:color w:val="auto"/>
                <w:sz w:val="24"/>
              </w:rPr>
              <w:t>高沙岭生态控制区</w:t>
            </w:r>
          </w:p>
        </w:tc>
        <w:tc>
          <w:tcPr>
            <w:tcW w:w="425" w:type="pct"/>
            <w:vAlign w:val="center"/>
          </w:tcPr>
          <w:p>
            <w:pPr>
              <w:jc w:val="center"/>
              <w:rPr>
                <w:color w:val="auto"/>
                <w:sz w:val="24"/>
              </w:rPr>
            </w:pPr>
            <w:r>
              <w:rPr>
                <w:color w:val="auto"/>
                <w:sz w:val="24"/>
              </w:rPr>
              <w:t>TJ0</w:t>
            </w:r>
            <w:r>
              <w:rPr>
                <w:rFonts w:hint="eastAsia"/>
                <w:color w:val="auto"/>
                <w:sz w:val="24"/>
              </w:rPr>
              <w:t>32</w:t>
            </w:r>
            <w:r>
              <w:rPr>
                <w:color w:val="auto"/>
                <w:sz w:val="24"/>
              </w:rPr>
              <w:t>BⅡ</w:t>
            </w:r>
          </w:p>
        </w:tc>
        <w:tc>
          <w:tcPr>
            <w:tcW w:w="723" w:type="pct"/>
            <w:vAlign w:val="center"/>
          </w:tcPr>
          <w:p>
            <w:pPr>
              <w:rPr>
                <w:color w:val="auto"/>
                <w:sz w:val="24"/>
              </w:rPr>
            </w:pPr>
            <w:r>
              <w:rPr>
                <w:color w:val="auto"/>
                <w:sz w:val="24"/>
              </w:rPr>
              <w:t>限制开发区</w:t>
            </w:r>
          </w:p>
        </w:tc>
        <w:tc>
          <w:tcPr>
            <w:tcW w:w="338" w:type="pct"/>
            <w:vAlign w:val="center"/>
          </w:tcPr>
          <w:p>
            <w:pPr>
              <w:jc w:val="center"/>
              <w:rPr>
                <w:color w:val="auto"/>
              </w:rPr>
            </w:pPr>
            <w:r>
              <w:rPr>
                <w:rFonts w:hint="eastAsia"/>
                <w:color w:val="auto"/>
                <w:sz w:val="24"/>
              </w:rPr>
              <w:t>二类区</w:t>
            </w:r>
          </w:p>
        </w:tc>
        <w:tc>
          <w:tcPr>
            <w:tcW w:w="267" w:type="pct"/>
            <w:vAlign w:val="center"/>
          </w:tcPr>
          <w:p>
            <w:pPr>
              <w:jc w:val="center"/>
              <w:rPr>
                <w:color w:val="auto"/>
                <w:sz w:val="24"/>
              </w:rPr>
            </w:pPr>
            <w:r>
              <w:rPr>
                <w:rFonts w:hint="eastAsia"/>
                <w:color w:val="auto"/>
                <w:sz w:val="24"/>
              </w:rPr>
              <w:t>二类</w:t>
            </w:r>
          </w:p>
        </w:tc>
        <w:tc>
          <w:tcPr>
            <w:tcW w:w="1743" w:type="pct"/>
            <w:vAlign w:val="center"/>
          </w:tcPr>
          <w:p>
            <w:pPr>
              <w:pStyle w:val="29"/>
              <w:jc w:val="both"/>
              <w:rPr>
                <w:rFonts w:ascii="Times New Roman"/>
                <w:color w:val="auto"/>
              </w:rPr>
            </w:pPr>
            <w:r>
              <w:rPr>
                <w:rFonts w:hint="eastAsia" w:ascii="Times New Roman"/>
                <w:color w:val="auto"/>
              </w:rPr>
              <w:t>需予以保留原貌、强化生态保育和生态建设、限制开发建设的海洋自然区域，因此划为二类区，确定水质目标为二类。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99" w:type="pct"/>
            <w:vAlign w:val="center"/>
          </w:tcPr>
          <w:p>
            <w:pPr>
              <w:jc w:val="center"/>
              <w:rPr>
                <w:color w:val="auto"/>
                <w:sz w:val="24"/>
              </w:rPr>
            </w:pPr>
            <w:r>
              <w:rPr>
                <w:rFonts w:hint="eastAsia"/>
                <w:color w:val="auto"/>
                <w:sz w:val="24"/>
              </w:rPr>
              <w:t>33</w:t>
            </w:r>
          </w:p>
        </w:tc>
        <w:tc>
          <w:tcPr>
            <w:tcW w:w="521" w:type="pct"/>
            <w:vAlign w:val="center"/>
          </w:tcPr>
          <w:p>
            <w:pPr>
              <w:jc w:val="center"/>
              <w:rPr>
                <w:color w:val="auto"/>
                <w:sz w:val="24"/>
              </w:rPr>
            </w:pPr>
            <w:r>
              <w:rPr>
                <w:color w:val="auto"/>
                <w:sz w:val="24"/>
              </w:rPr>
              <w:t>一般管控区</w:t>
            </w:r>
          </w:p>
        </w:tc>
        <w:tc>
          <w:tcPr>
            <w:tcW w:w="784" w:type="pct"/>
            <w:vAlign w:val="center"/>
          </w:tcPr>
          <w:p>
            <w:pPr>
              <w:jc w:val="center"/>
              <w:rPr>
                <w:color w:val="auto"/>
                <w:sz w:val="24"/>
              </w:rPr>
            </w:pPr>
            <w:r>
              <w:rPr>
                <w:rFonts w:hint="eastAsia"/>
                <w:color w:val="auto"/>
                <w:sz w:val="24"/>
              </w:rPr>
              <w:t>南港南</w:t>
            </w:r>
            <w:r>
              <w:rPr>
                <w:color w:val="auto"/>
                <w:sz w:val="24"/>
              </w:rPr>
              <w:t>生态控制区</w:t>
            </w:r>
          </w:p>
        </w:tc>
        <w:tc>
          <w:tcPr>
            <w:tcW w:w="425" w:type="pct"/>
            <w:vAlign w:val="center"/>
          </w:tcPr>
          <w:p>
            <w:pPr>
              <w:jc w:val="center"/>
              <w:rPr>
                <w:color w:val="auto"/>
                <w:sz w:val="24"/>
              </w:rPr>
            </w:pPr>
            <w:r>
              <w:rPr>
                <w:color w:val="auto"/>
                <w:sz w:val="24"/>
              </w:rPr>
              <w:t>TJ0</w:t>
            </w:r>
            <w:r>
              <w:rPr>
                <w:rFonts w:hint="eastAsia"/>
                <w:color w:val="auto"/>
                <w:sz w:val="24"/>
              </w:rPr>
              <w:t>33</w:t>
            </w:r>
            <w:r>
              <w:rPr>
                <w:color w:val="auto"/>
                <w:sz w:val="24"/>
              </w:rPr>
              <w:t>BⅡ</w:t>
            </w:r>
          </w:p>
        </w:tc>
        <w:tc>
          <w:tcPr>
            <w:tcW w:w="723" w:type="pct"/>
            <w:vAlign w:val="center"/>
          </w:tcPr>
          <w:p>
            <w:pPr>
              <w:rPr>
                <w:color w:val="auto"/>
                <w:sz w:val="24"/>
              </w:rPr>
            </w:pPr>
            <w:r>
              <w:rPr>
                <w:color w:val="auto"/>
                <w:sz w:val="24"/>
              </w:rPr>
              <w:t>限制开发区</w:t>
            </w:r>
          </w:p>
        </w:tc>
        <w:tc>
          <w:tcPr>
            <w:tcW w:w="338" w:type="pct"/>
            <w:vAlign w:val="center"/>
          </w:tcPr>
          <w:p>
            <w:pPr>
              <w:jc w:val="center"/>
              <w:rPr>
                <w:color w:val="auto"/>
              </w:rPr>
            </w:pPr>
            <w:r>
              <w:rPr>
                <w:rFonts w:hint="eastAsia"/>
                <w:color w:val="auto"/>
                <w:sz w:val="24"/>
              </w:rPr>
              <w:t>二类区</w:t>
            </w:r>
          </w:p>
        </w:tc>
        <w:tc>
          <w:tcPr>
            <w:tcW w:w="267" w:type="pct"/>
            <w:vAlign w:val="center"/>
          </w:tcPr>
          <w:p>
            <w:pPr>
              <w:jc w:val="center"/>
              <w:rPr>
                <w:color w:val="auto"/>
                <w:sz w:val="24"/>
              </w:rPr>
            </w:pPr>
            <w:r>
              <w:rPr>
                <w:rFonts w:hint="eastAsia"/>
                <w:color w:val="auto"/>
                <w:sz w:val="24"/>
              </w:rPr>
              <w:t>二类</w:t>
            </w:r>
          </w:p>
        </w:tc>
        <w:tc>
          <w:tcPr>
            <w:tcW w:w="1743" w:type="pct"/>
            <w:vAlign w:val="center"/>
          </w:tcPr>
          <w:p>
            <w:pPr>
              <w:pStyle w:val="29"/>
              <w:jc w:val="both"/>
              <w:rPr>
                <w:rFonts w:ascii="Times New Roman"/>
                <w:color w:val="auto"/>
              </w:rPr>
            </w:pPr>
            <w:r>
              <w:rPr>
                <w:rFonts w:hint="eastAsia" w:ascii="Times New Roman"/>
                <w:color w:val="auto"/>
              </w:rPr>
              <w:t>需予以保留原貌、强化生态保育和生态建设、限制开发建设的海洋自然区域，因此划为二类区，确定水质目标为二类。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99" w:type="pct"/>
            <w:vAlign w:val="center"/>
          </w:tcPr>
          <w:p>
            <w:pPr>
              <w:jc w:val="center"/>
              <w:rPr>
                <w:color w:val="auto"/>
                <w:sz w:val="24"/>
              </w:rPr>
            </w:pPr>
            <w:r>
              <w:rPr>
                <w:rFonts w:hint="eastAsia"/>
                <w:color w:val="auto"/>
                <w:sz w:val="24"/>
              </w:rPr>
              <w:t>34</w:t>
            </w:r>
          </w:p>
        </w:tc>
        <w:tc>
          <w:tcPr>
            <w:tcW w:w="521" w:type="pct"/>
            <w:vAlign w:val="center"/>
          </w:tcPr>
          <w:p>
            <w:pPr>
              <w:jc w:val="center"/>
              <w:rPr>
                <w:color w:val="auto"/>
                <w:sz w:val="24"/>
              </w:rPr>
            </w:pPr>
            <w:r>
              <w:rPr>
                <w:color w:val="auto"/>
                <w:sz w:val="24"/>
              </w:rPr>
              <w:t>一般管控区</w:t>
            </w:r>
          </w:p>
        </w:tc>
        <w:tc>
          <w:tcPr>
            <w:tcW w:w="784" w:type="pct"/>
            <w:vAlign w:val="center"/>
          </w:tcPr>
          <w:p>
            <w:pPr>
              <w:jc w:val="center"/>
              <w:rPr>
                <w:color w:val="auto"/>
                <w:sz w:val="24"/>
              </w:rPr>
            </w:pPr>
            <w:r>
              <w:rPr>
                <w:rFonts w:hint="eastAsia"/>
                <w:color w:val="auto"/>
                <w:sz w:val="24"/>
              </w:rPr>
              <w:t>北大港</w:t>
            </w:r>
            <w:r>
              <w:rPr>
                <w:color w:val="auto"/>
                <w:sz w:val="24"/>
              </w:rPr>
              <w:t>生态控制区</w:t>
            </w:r>
          </w:p>
        </w:tc>
        <w:tc>
          <w:tcPr>
            <w:tcW w:w="425" w:type="pct"/>
            <w:vAlign w:val="center"/>
          </w:tcPr>
          <w:p>
            <w:pPr>
              <w:jc w:val="center"/>
              <w:rPr>
                <w:color w:val="auto"/>
                <w:sz w:val="24"/>
              </w:rPr>
            </w:pPr>
            <w:r>
              <w:rPr>
                <w:color w:val="auto"/>
                <w:sz w:val="24"/>
              </w:rPr>
              <w:t>TJ0</w:t>
            </w:r>
            <w:r>
              <w:rPr>
                <w:rFonts w:hint="eastAsia"/>
                <w:color w:val="auto"/>
                <w:sz w:val="24"/>
              </w:rPr>
              <w:t>34</w:t>
            </w:r>
            <w:r>
              <w:rPr>
                <w:color w:val="auto"/>
                <w:sz w:val="24"/>
              </w:rPr>
              <w:t>BⅡ</w:t>
            </w:r>
          </w:p>
        </w:tc>
        <w:tc>
          <w:tcPr>
            <w:tcW w:w="723" w:type="pct"/>
            <w:vAlign w:val="center"/>
          </w:tcPr>
          <w:p>
            <w:pPr>
              <w:rPr>
                <w:color w:val="auto"/>
                <w:sz w:val="24"/>
              </w:rPr>
            </w:pPr>
            <w:r>
              <w:rPr>
                <w:color w:val="auto"/>
                <w:sz w:val="24"/>
              </w:rPr>
              <w:t>限制开发区</w:t>
            </w:r>
          </w:p>
        </w:tc>
        <w:tc>
          <w:tcPr>
            <w:tcW w:w="338" w:type="pct"/>
            <w:vAlign w:val="center"/>
          </w:tcPr>
          <w:p>
            <w:pPr>
              <w:jc w:val="center"/>
              <w:rPr>
                <w:color w:val="auto"/>
              </w:rPr>
            </w:pPr>
            <w:r>
              <w:rPr>
                <w:rFonts w:hint="eastAsia"/>
                <w:color w:val="auto"/>
                <w:sz w:val="24"/>
              </w:rPr>
              <w:t>二类区</w:t>
            </w:r>
          </w:p>
        </w:tc>
        <w:tc>
          <w:tcPr>
            <w:tcW w:w="267" w:type="pct"/>
            <w:vAlign w:val="center"/>
          </w:tcPr>
          <w:p>
            <w:pPr>
              <w:jc w:val="center"/>
              <w:rPr>
                <w:color w:val="auto"/>
                <w:sz w:val="24"/>
              </w:rPr>
            </w:pPr>
            <w:r>
              <w:rPr>
                <w:rFonts w:hint="eastAsia"/>
                <w:color w:val="auto"/>
                <w:sz w:val="24"/>
              </w:rPr>
              <w:t>二类</w:t>
            </w:r>
          </w:p>
        </w:tc>
        <w:tc>
          <w:tcPr>
            <w:tcW w:w="1743" w:type="pct"/>
            <w:vAlign w:val="center"/>
          </w:tcPr>
          <w:p>
            <w:pPr>
              <w:pStyle w:val="29"/>
              <w:jc w:val="both"/>
              <w:rPr>
                <w:rFonts w:ascii="Times New Roman"/>
                <w:color w:val="auto"/>
              </w:rPr>
            </w:pPr>
            <w:r>
              <w:rPr>
                <w:rFonts w:hint="eastAsia" w:ascii="Times New Roman"/>
                <w:color w:val="auto"/>
              </w:rPr>
              <w:t>需予以保留原貌、强化生态保育和生态建设、限制开发建设的海洋自然区域，因此划为二类区，确定水质目标为二类。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99" w:type="pct"/>
            <w:vAlign w:val="center"/>
          </w:tcPr>
          <w:p>
            <w:pPr>
              <w:jc w:val="center"/>
              <w:rPr>
                <w:color w:val="auto"/>
                <w:sz w:val="24"/>
              </w:rPr>
            </w:pPr>
            <w:r>
              <w:rPr>
                <w:rFonts w:hint="eastAsia"/>
                <w:color w:val="auto"/>
                <w:sz w:val="24"/>
              </w:rPr>
              <w:t>35</w:t>
            </w:r>
          </w:p>
        </w:tc>
        <w:tc>
          <w:tcPr>
            <w:tcW w:w="521" w:type="pct"/>
            <w:vAlign w:val="center"/>
          </w:tcPr>
          <w:p>
            <w:pPr>
              <w:jc w:val="center"/>
              <w:rPr>
                <w:color w:val="auto"/>
                <w:sz w:val="24"/>
              </w:rPr>
            </w:pPr>
            <w:r>
              <w:rPr>
                <w:color w:val="auto"/>
                <w:sz w:val="24"/>
              </w:rPr>
              <w:t>一般管控区</w:t>
            </w:r>
          </w:p>
        </w:tc>
        <w:tc>
          <w:tcPr>
            <w:tcW w:w="784" w:type="pct"/>
            <w:vAlign w:val="center"/>
          </w:tcPr>
          <w:p>
            <w:pPr>
              <w:jc w:val="center"/>
              <w:rPr>
                <w:color w:val="auto"/>
                <w:sz w:val="24"/>
              </w:rPr>
            </w:pPr>
            <w:r>
              <w:rPr>
                <w:color w:val="auto"/>
                <w:sz w:val="24"/>
              </w:rPr>
              <w:t>高沙岭</w:t>
            </w:r>
            <w:r>
              <w:rPr>
                <w:rFonts w:hint="eastAsia"/>
                <w:color w:val="auto"/>
                <w:sz w:val="24"/>
              </w:rPr>
              <w:t>东海洋预留区</w:t>
            </w:r>
          </w:p>
        </w:tc>
        <w:tc>
          <w:tcPr>
            <w:tcW w:w="425" w:type="pct"/>
            <w:vAlign w:val="center"/>
          </w:tcPr>
          <w:p>
            <w:pPr>
              <w:jc w:val="center"/>
              <w:rPr>
                <w:color w:val="auto"/>
                <w:sz w:val="24"/>
              </w:rPr>
            </w:pPr>
            <w:r>
              <w:rPr>
                <w:color w:val="auto"/>
                <w:sz w:val="24"/>
              </w:rPr>
              <w:t>TJ0</w:t>
            </w:r>
            <w:r>
              <w:rPr>
                <w:rFonts w:hint="eastAsia"/>
                <w:color w:val="auto"/>
                <w:sz w:val="24"/>
              </w:rPr>
              <w:t>35</w:t>
            </w:r>
            <w:r>
              <w:rPr>
                <w:color w:val="auto"/>
                <w:sz w:val="24"/>
              </w:rPr>
              <w:t>BⅡ</w:t>
            </w:r>
          </w:p>
        </w:tc>
        <w:tc>
          <w:tcPr>
            <w:tcW w:w="723" w:type="pct"/>
            <w:vAlign w:val="center"/>
          </w:tcPr>
          <w:p>
            <w:pPr>
              <w:rPr>
                <w:color w:val="auto"/>
                <w:sz w:val="24"/>
              </w:rPr>
            </w:pPr>
            <w:r>
              <w:rPr>
                <w:color w:val="auto"/>
                <w:sz w:val="24"/>
              </w:rPr>
              <w:t>后备发展区</w:t>
            </w:r>
          </w:p>
        </w:tc>
        <w:tc>
          <w:tcPr>
            <w:tcW w:w="338" w:type="pct"/>
            <w:vAlign w:val="center"/>
          </w:tcPr>
          <w:p>
            <w:pPr>
              <w:jc w:val="center"/>
              <w:rPr>
                <w:color w:val="auto"/>
              </w:rPr>
            </w:pPr>
            <w:r>
              <w:rPr>
                <w:rFonts w:hint="eastAsia"/>
                <w:color w:val="auto"/>
                <w:sz w:val="24"/>
              </w:rPr>
              <w:t>二类区</w:t>
            </w:r>
          </w:p>
        </w:tc>
        <w:tc>
          <w:tcPr>
            <w:tcW w:w="267" w:type="pct"/>
            <w:vAlign w:val="center"/>
          </w:tcPr>
          <w:p>
            <w:pPr>
              <w:jc w:val="center"/>
              <w:rPr>
                <w:color w:val="auto"/>
                <w:sz w:val="24"/>
              </w:rPr>
            </w:pPr>
            <w:r>
              <w:rPr>
                <w:rFonts w:hint="eastAsia"/>
                <w:color w:val="auto"/>
                <w:sz w:val="24"/>
              </w:rPr>
              <w:t>二类</w:t>
            </w:r>
          </w:p>
        </w:tc>
        <w:tc>
          <w:tcPr>
            <w:tcW w:w="1743" w:type="pct"/>
            <w:vAlign w:val="center"/>
          </w:tcPr>
          <w:p>
            <w:pPr>
              <w:pStyle w:val="29"/>
              <w:jc w:val="both"/>
              <w:rPr>
                <w:rFonts w:ascii="Times New Roman"/>
                <w:color w:val="auto"/>
              </w:rPr>
            </w:pPr>
            <w:r>
              <w:rPr>
                <w:rFonts w:hint="eastAsia" w:ascii="Times New Roman"/>
                <w:color w:val="auto"/>
              </w:rPr>
              <w:t>后备发展区，严禁随意开发，因此划为二类区，确定水质目标为二类。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99" w:type="pct"/>
            <w:vAlign w:val="center"/>
          </w:tcPr>
          <w:p>
            <w:pPr>
              <w:jc w:val="center"/>
              <w:rPr>
                <w:color w:val="auto"/>
                <w:sz w:val="24"/>
              </w:rPr>
            </w:pPr>
            <w:r>
              <w:rPr>
                <w:rFonts w:hint="eastAsia"/>
                <w:color w:val="auto"/>
                <w:sz w:val="24"/>
              </w:rPr>
              <w:t>36</w:t>
            </w:r>
          </w:p>
        </w:tc>
        <w:tc>
          <w:tcPr>
            <w:tcW w:w="521" w:type="pct"/>
            <w:vAlign w:val="center"/>
          </w:tcPr>
          <w:p>
            <w:pPr>
              <w:jc w:val="center"/>
              <w:rPr>
                <w:color w:val="auto"/>
                <w:sz w:val="24"/>
              </w:rPr>
            </w:pPr>
            <w:r>
              <w:rPr>
                <w:color w:val="auto"/>
                <w:sz w:val="24"/>
              </w:rPr>
              <w:t>一般管控区</w:t>
            </w:r>
          </w:p>
        </w:tc>
        <w:tc>
          <w:tcPr>
            <w:tcW w:w="784" w:type="pct"/>
            <w:vAlign w:val="center"/>
          </w:tcPr>
          <w:p>
            <w:pPr>
              <w:jc w:val="center"/>
              <w:rPr>
                <w:color w:val="auto"/>
                <w:sz w:val="24"/>
              </w:rPr>
            </w:pPr>
            <w:r>
              <w:rPr>
                <w:color w:val="auto"/>
                <w:sz w:val="24"/>
              </w:rPr>
              <w:t>南港海洋预留区</w:t>
            </w:r>
          </w:p>
        </w:tc>
        <w:tc>
          <w:tcPr>
            <w:tcW w:w="425" w:type="pct"/>
            <w:vAlign w:val="center"/>
          </w:tcPr>
          <w:p>
            <w:pPr>
              <w:jc w:val="center"/>
              <w:rPr>
                <w:color w:val="auto"/>
                <w:sz w:val="24"/>
              </w:rPr>
            </w:pPr>
            <w:r>
              <w:rPr>
                <w:color w:val="auto"/>
                <w:sz w:val="24"/>
              </w:rPr>
              <w:t>TJ0</w:t>
            </w:r>
            <w:r>
              <w:rPr>
                <w:rFonts w:hint="eastAsia"/>
                <w:color w:val="auto"/>
                <w:sz w:val="24"/>
              </w:rPr>
              <w:t>36</w:t>
            </w:r>
            <w:r>
              <w:rPr>
                <w:color w:val="auto"/>
                <w:sz w:val="24"/>
              </w:rPr>
              <w:t>BⅡ</w:t>
            </w:r>
          </w:p>
        </w:tc>
        <w:tc>
          <w:tcPr>
            <w:tcW w:w="723" w:type="pct"/>
            <w:vAlign w:val="center"/>
          </w:tcPr>
          <w:p>
            <w:pPr>
              <w:rPr>
                <w:color w:val="auto"/>
                <w:sz w:val="24"/>
              </w:rPr>
            </w:pPr>
            <w:r>
              <w:rPr>
                <w:color w:val="auto"/>
                <w:sz w:val="24"/>
              </w:rPr>
              <w:t>后备发展区域</w:t>
            </w:r>
          </w:p>
        </w:tc>
        <w:tc>
          <w:tcPr>
            <w:tcW w:w="338" w:type="pct"/>
            <w:vAlign w:val="center"/>
          </w:tcPr>
          <w:p>
            <w:pPr>
              <w:jc w:val="center"/>
              <w:rPr>
                <w:color w:val="auto"/>
              </w:rPr>
            </w:pPr>
            <w:r>
              <w:rPr>
                <w:rFonts w:hint="eastAsia"/>
                <w:color w:val="auto"/>
                <w:sz w:val="24"/>
              </w:rPr>
              <w:t>二类区</w:t>
            </w:r>
          </w:p>
        </w:tc>
        <w:tc>
          <w:tcPr>
            <w:tcW w:w="267" w:type="pct"/>
            <w:vAlign w:val="center"/>
          </w:tcPr>
          <w:p>
            <w:pPr>
              <w:jc w:val="center"/>
              <w:rPr>
                <w:color w:val="auto"/>
                <w:sz w:val="24"/>
              </w:rPr>
            </w:pPr>
            <w:r>
              <w:rPr>
                <w:color w:val="auto"/>
                <w:sz w:val="24"/>
              </w:rPr>
              <w:t>二类</w:t>
            </w:r>
          </w:p>
        </w:tc>
        <w:tc>
          <w:tcPr>
            <w:tcW w:w="1743" w:type="pct"/>
            <w:vAlign w:val="center"/>
          </w:tcPr>
          <w:p>
            <w:pPr>
              <w:pStyle w:val="29"/>
              <w:jc w:val="both"/>
              <w:rPr>
                <w:rFonts w:ascii="Times New Roman"/>
                <w:color w:val="auto"/>
              </w:rPr>
            </w:pPr>
            <w:r>
              <w:rPr>
                <w:rFonts w:hint="eastAsia" w:ascii="Times New Roman"/>
                <w:color w:val="auto"/>
              </w:rPr>
              <w:t>后备发展区，严禁随意开发，因此划为二类区，确定水质目标为二类。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9" w:type="pct"/>
            <w:vAlign w:val="center"/>
          </w:tcPr>
          <w:p>
            <w:pPr>
              <w:jc w:val="center"/>
              <w:rPr>
                <w:color w:val="auto"/>
                <w:sz w:val="24"/>
              </w:rPr>
            </w:pPr>
            <w:r>
              <w:rPr>
                <w:rFonts w:hint="eastAsia"/>
                <w:color w:val="auto"/>
                <w:sz w:val="24"/>
              </w:rPr>
              <w:t>37</w:t>
            </w:r>
          </w:p>
        </w:tc>
        <w:tc>
          <w:tcPr>
            <w:tcW w:w="521" w:type="pct"/>
            <w:vAlign w:val="center"/>
          </w:tcPr>
          <w:p>
            <w:pPr>
              <w:jc w:val="center"/>
              <w:rPr>
                <w:color w:val="auto"/>
                <w:sz w:val="24"/>
              </w:rPr>
            </w:pPr>
            <w:r>
              <w:rPr>
                <w:color w:val="auto"/>
                <w:sz w:val="24"/>
              </w:rPr>
              <w:t>一般管控区</w:t>
            </w:r>
          </w:p>
        </w:tc>
        <w:tc>
          <w:tcPr>
            <w:tcW w:w="784" w:type="pct"/>
            <w:vAlign w:val="center"/>
          </w:tcPr>
          <w:p>
            <w:pPr>
              <w:jc w:val="center"/>
              <w:rPr>
                <w:color w:val="auto"/>
                <w:sz w:val="24"/>
              </w:rPr>
            </w:pPr>
            <w:r>
              <w:rPr>
                <w:rFonts w:hint="eastAsia"/>
                <w:color w:val="auto"/>
                <w:sz w:val="24"/>
              </w:rPr>
              <w:t>大神堂风电</w:t>
            </w:r>
            <w:r>
              <w:rPr>
                <w:color w:val="auto"/>
                <w:sz w:val="24"/>
              </w:rPr>
              <w:t>工矿通信用海区</w:t>
            </w:r>
          </w:p>
        </w:tc>
        <w:tc>
          <w:tcPr>
            <w:tcW w:w="425" w:type="pct"/>
            <w:vAlign w:val="center"/>
          </w:tcPr>
          <w:p>
            <w:pPr>
              <w:jc w:val="center"/>
              <w:rPr>
                <w:color w:val="auto"/>
                <w:sz w:val="24"/>
              </w:rPr>
            </w:pPr>
            <w:r>
              <w:rPr>
                <w:color w:val="auto"/>
                <w:sz w:val="24"/>
              </w:rPr>
              <w:t>TJ0</w:t>
            </w:r>
            <w:r>
              <w:rPr>
                <w:rFonts w:hint="eastAsia"/>
                <w:color w:val="auto"/>
                <w:sz w:val="24"/>
              </w:rPr>
              <w:t>37E0</w:t>
            </w:r>
          </w:p>
        </w:tc>
        <w:tc>
          <w:tcPr>
            <w:tcW w:w="723" w:type="pct"/>
            <w:vAlign w:val="center"/>
          </w:tcPr>
          <w:p>
            <w:pPr>
              <w:rPr>
                <w:color w:val="auto"/>
                <w:sz w:val="24"/>
              </w:rPr>
            </w:pPr>
            <w:r>
              <w:rPr>
                <w:rFonts w:hint="eastAsia"/>
                <w:color w:val="auto"/>
                <w:sz w:val="24"/>
              </w:rPr>
              <w:t>工矿通信</w:t>
            </w:r>
            <w:r>
              <w:rPr>
                <w:color w:val="auto"/>
                <w:sz w:val="24"/>
              </w:rPr>
              <w:t>用海</w:t>
            </w:r>
            <w:r>
              <w:rPr>
                <w:rFonts w:hint="eastAsia"/>
                <w:color w:val="auto"/>
                <w:sz w:val="24"/>
              </w:rPr>
              <w:t>（可再生能源用海）</w:t>
            </w:r>
          </w:p>
        </w:tc>
        <w:tc>
          <w:tcPr>
            <w:tcW w:w="338" w:type="pct"/>
            <w:vAlign w:val="center"/>
          </w:tcPr>
          <w:p>
            <w:pPr>
              <w:jc w:val="center"/>
              <w:rPr>
                <w:color w:val="auto"/>
                <w:sz w:val="24"/>
              </w:rPr>
            </w:pPr>
            <w:r>
              <w:rPr>
                <w:rFonts w:hint="eastAsia"/>
                <w:color w:val="auto"/>
                <w:sz w:val="24"/>
              </w:rPr>
              <w:t>/</w:t>
            </w:r>
          </w:p>
        </w:tc>
        <w:tc>
          <w:tcPr>
            <w:tcW w:w="267" w:type="pct"/>
            <w:vAlign w:val="center"/>
          </w:tcPr>
          <w:p>
            <w:pPr>
              <w:jc w:val="center"/>
              <w:rPr>
                <w:color w:val="auto"/>
                <w:sz w:val="24"/>
              </w:rPr>
            </w:pPr>
            <w:r>
              <w:rPr>
                <w:rFonts w:hint="eastAsia"/>
                <w:color w:val="auto"/>
                <w:sz w:val="24"/>
              </w:rPr>
              <w:t>/</w:t>
            </w:r>
          </w:p>
        </w:tc>
        <w:tc>
          <w:tcPr>
            <w:tcW w:w="1743" w:type="pct"/>
            <w:vAlign w:val="center"/>
          </w:tcPr>
          <w:p>
            <w:pPr>
              <w:pStyle w:val="29"/>
              <w:jc w:val="both"/>
              <w:rPr>
                <w:rFonts w:ascii="Times New Roman"/>
                <w:color w:val="auto"/>
              </w:rPr>
            </w:pPr>
            <w:r>
              <w:rPr>
                <w:rFonts w:hint="eastAsia" w:ascii="Times New Roman"/>
                <w:color w:val="auto"/>
              </w:rPr>
              <w:t>已建成风电桩不使用近岸海域，不进行分类，不设定水质目标。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99" w:type="pct"/>
            <w:vAlign w:val="center"/>
          </w:tcPr>
          <w:p>
            <w:pPr>
              <w:jc w:val="center"/>
              <w:rPr>
                <w:color w:val="auto"/>
                <w:sz w:val="24"/>
              </w:rPr>
            </w:pPr>
            <w:r>
              <w:rPr>
                <w:rFonts w:hint="eastAsia"/>
                <w:color w:val="auto"/>
                <w:sz w:val="24"/>
              </w:rPr>
              <w:t>38</w:t>
            </w:r>
          </w:p>
        </w:tc>
        <w:tc>
          <w:tcPr>
            <w:tcW w:w="521" w:type="pct"/>
            <w:vAlign w:val="center"/>
          </w:tcPr>
          <w:p>
            <w:pPr>
              <w:jc w:val="center"/>
              <w:rPr>
                <w:color w:val="auto"/>
                <w:sz w:val="24"/>
              </w:rPr>
            </w:pPr>
            <w:r>
              <w:rPr>
                <w:color w:val="auto"/>
                <w:sz w:val="24"/>
              </w:rPr>
              <w:t>一般管控区</w:t>
            </w:r>
          </w:p>
        </w:tc>
        <w:tc>
          <w:tcPr>
            <w:tcW w:w="784" w:type="pct"/>
            <w:vAlign w:val="center"/>
          </w:tcPr>
          <w:p>
            <w:pPr>
              <w:jc w:val="center"/>
              <w:rPr>
                <w:color w:val="auto"/>
                <w:sz w:val="24"/>
              </w:rPr>
            </w:pPr>
            <w:r>
              <w:rPr>
                <w:rFonts w:hint="eastAsia"/>
                <w:color w:val="auto"/>
                <w:sz w:val="24"/>
              </w:rPr>
              <w:t>大神堂交通运输用海区</w:t>
            </w:r>
          </w:p>
        </w:tc>
        <w:tc>
          <w:tcPr>
            <w:tcW w:w="425" w:type="pct"/>
            <w:vAlign w:val="center"/>
          </w:tcPr>
          <w:p>
            <w:pPr>
              <w:jc w:val="center"/>
              <w:rPr>
                <w:color w:val="auto"/>
                <w:sz w:val="24"/>
              </w:rPr>
            </w:pPr>
            <w:r>
              <w:rPr>
                <w:color w:val="auto"/>
                <w:sz w:val="24"/>
              </w:rPr>
              <w:t>TJ0</w:t>
            </w:r>
            <w:r>
              <w:rPr>
                <w:rFonts w:hint="eastAsia"/>
                <w:color w:val="auto"/>
                <w:sz w:val="24"/>
              </w:rPr>
              <w:t>38E0</w:t>
            </w:r>
          </w:p>
        </w:tc>
        <w:tc>
          <w:tcPr>
            <w:tcW w:w="723" w:type="pct"/>
            <w:vAlign w:val="center"/>
          </w:tcPr>
          <w:p>
            <w:pPr>
              <w:rPr>
                <w:color w:val="auto"/>
                <w:sz w:val="24"/>
              </w:rPr>
            </w:pPr>
            <w:r>
              <w:rPr>
                <w:rFonts w:hint="eastAsia"/>
                <w:color w:val="auto"/>
                <w:sz w:val="24"/>
              </w:rPr>
              <w:t>路桥隧道用海</w:t>
            </w:r>
          </w:p>
        </w:tc>
        <w:tc>
          <w:tcPr>
            <w:tcW w:w="338" w:type="pct"/>
            <w:vAlign w:val="center"/>
          </w:tcPr>
          <w:p>
            <w:pPr>
              <w:jc w:val="center"/>
              <w:rPr>
                <w:color w:val="auto"/>
                <w:sz w:val="24"/>
              </w:rPr>
            </w:pPr>
            <w:r>
              <w:rPr>
                <w:rFonts w:hint="eastAsia"/>
                <w:color w:val="auto"/>
                <w:sz w:val="24"/>
              </w:rPr>
              <w:t>/</w:t>
            </w:r>
          </w:p>
        </w:tc>
        <w:tc>
          <w:tcPr>
            <w:tcW w:w="267" w:type="pct"/>
            <w:vAlign w:val="center"/>
          </w:tcPr>
          <w:p>
            <w:pPr>
              <w:jc w:val="center"/>
              <w:rPr>
                <w:color w:val="auto"/>
                <w:sz w:val="24"/>
              </w:rPr>
            </w:pPr>
            <w:r>
              <w:rPr>
                <w:rFonts w:hint="eastAsia"/>
                <w:color w:val="auto"/>
                <w:sz w:val="24"/>
              </w:rPr>
              <w:t>/</w:t>
            </w:r>
          </w:p>
        </w:tc>
        <w:tc>
          <w:tcPr>
            <w:tcW w:w="1743" w:type="pct"/>
            <w:vAlign w:val="center"/>
          </w:tcPr>
          <w:p>
            <w:pPr>
              <w:pStyle w:val="29"/>
              <w:jc w:val="both"/>
              <w:rPr>
                <w:rFonts w:ascii="Times New Roman"/>
                <w:color w:val="auto"/>
              </w:rPr>
            </w:pPr>
            <w:r>
              <w:rPr>
                <w:rFonts w:hint="eastAsia" w:ascii="Times New Roman"/>
                <w:color w:val="auto"/>
              </w:rPr>
              <w:t>路桥用海，已建成，不使用近岸海域，不进行分类，不设定水质目标。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9" w:type="pct"/>
            <w:vAlign w:val="center"/>
          </w:tcPr>
          <w:p>
            <w:pPr>
              <w:jc w:val="center"/>
              <w:rPr>
                <w:color w:val="auto"/>
                <w:sz w:val="24"/>
              </w:rPr>
            </w:pPr>
            <w:r>
              <w:rPr>
                <w:rFonts w:hint="eastAsia"/>
                <w:color w:val="auto"/>
                <w:sz w:val="24"/>
              </w:rPr>
              <w:t>39</w:t>
            </w:r>
          </w:p>
        </w:tc>
        <w:tc>
          <w:tcPr>
            <w:tcW w:w="521" w:type="pct"/>
            <w:vAlign w:val="center"/>
          </w:tcPr>
          <w:p>
            <w:pPr>
              <w:jc w:val="center"/>
              <w:rPr>
                <w:color w:val="auto"/>
                <w:sz w:val="24"/>
              </w:rPr>
            </w:pPr>
            <w:r>
              <w:rPr>
                <w:color w:val="auto"/>
                <w:sz w:val="24"/>
              </w:rPr>
              <w:t>一般管控区</w:t>
            </w:r>
          </w:p>
        </w:tc>
        <w:tc>
          <w:tcPr>
            <w:tcW w:w="784" w:type="pct"/>
            <w:vAlign w:val="center"/>
          </w:tcPr>
          <w:p>
            <w:pPr>
              <w:jc w:val="center"/>
              <w:rPr>
                <w:color w:val="auto"/>
                <w:sz w:val="24"/>
              </w:rPr>
            </w:pPr>
            <w:r>
              <w:rPr>
                <w:color w:val="auto"/>
                <w:sz w:val="24"/>
              </w:rPr>
              <w:t>大沽炮台特殊用海区</w:t>
            </w:r>
          </w:p>
        </w:tc>
        <w:tc>
          <w:tcPr>
            <w:tcW w:w="425" w:type="pct"/>
            <w:vAlign w:val="center"/>
          </w:tcPr>
          <w:p>
            <w:pPr>
              <w:jc w:val="center"/>
              <w:rPr>
                <w:color w:val="auto"/>
                <w:sz w:val="24"/>
              </w:rPr>
            </w:pPr>
            <w:r>
              <w:rPr>
                <w:color w:val="auto"/>
                <w:sz w:val="24"/>
              </w:rPr>
              <w:t>TJ0</w:t>
            </w:r>
            <w:r>
              <w:rPr>
                <w:rFonts w:hint="eastAsia"/>
                <w:color w:val="auto"/>
                <w:sz w:val="24"/>
              </w:rPr>
              <w:t>39E0</w:t>
            </w:r>
          </w:p>
        </w:tc>
        <w:tc>
          <w:tcPr>
            <w:tcW w:w="723" w:type="pct"/>
            <w:vAlign w:val="center"/>
          </w:tcPr>
          <w:p>
            <w:pPr>
              <w:rPr>
                <w:color w:val="auto"/>
                <w:sz w:val="24"/>
              </w:rPr>
            </w:pPr>
            <w:r>
              <w:rPr>
                <w:color w:val="auto"/>
                <w:sz w:val="24"/>
              </w:rPr>
              <w:t>军事用海</w:t>
            </w:r>
          </w:p>
        </w:tc>
        <w:tc>
          <w:tcPr>
            <w:tcW w:w="338" w:type="pct"/>
            <w:vAlign w:val="center"/>
          </w:tcPr>
          <w:p>
            <w:pPr>
              <w:jc w:val="center"/>
              <w:rPr>
                <w:color w:val="auto"/>
                <w:sz w:val="24"/>
              </w:rPr>
            </w:pPr>
            <w:r>
              <w:rPr>
                <w:rFonts w:hint="eastAsia"/>
                <w:color w:val="auto"/>
                <w:sz w:val="24"/>
              </w:rPr>
              <w:t>/</w:t>
            </w:r>
          </w:p>
        </w:tc>
        <w:tc>
          <w:tcPr>
            <w:tcW w:w="267" w:type="pct"/>
            <w:vAlign w:val="center"/>
          </w:tcPr>
          <w:p>
            <w:pPr>
              <w:jc w:val="center"/>
              <w:rPr>
                <w:color w:val="auto"/>
                <w:sz w:val="24"/>
              </w:rPr>
            </w:pPr>
            <w:r>
              <w:rPr>
                <w:rFonts w:hint="eastAsia"/>
                <w:color w:val="auto"/>
                <w:sz w:val="24"/>
              </w:rPr>
              <w:t>/</w:t>
            </w:r>
          </w:p>
        </w:tc>
        <w:tc>
          <w:tcPr>
            <w:tcW w:w="1743" w:type="pct"/>
            <w:vAlign w:val="center"/>
          </w:tcPr>
          <w:p>
            <w:pPr>
              <w:pStyle w:val="29"/>
              <w:jc w:val="both"/>
              <w:rPr>
                <w:rFonts w:ascii="Times New Roman"/>
                <w:color w:val="auto"/>
              </w:rPr>
            </w:pPr>
            <w:r>
              <w:rPr>
                <w:rFonts w:hint="eastAsia" w:ascii="Times New Roman"/>
                <w:color w:val="auto"/>
              </w:rPr>
              <w:t>军事用海区，不进行使用分类，不设定水质目标。</w:t>
            </w:r>
          </w:p>
        </w:tc>
      </w:tr>
    </w:tbl>
    <w:p>
      <w:pPr>
        <w:rPr>
          <w:color w:val="auto"/>
        </w:rPr>
      </w:pPr>
    </w:p>
    <w:p>
      <w:pPr>
        <w:pStyle w:val="30"/>
        <w:ind w:firstLine="629" w:firstLineChars="196"/>
        <w:rPr>
          <w:rFonts w:ascii="Times New Roman" w:hAnsi="Times New Roman"/>
          <w:color w:val="auto"/>
        </w:rPr>
      </w:pPr>
    </w:p>
    <w:sectPr>
      <w:footerReference r:id="rId4"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0000019F" w:csb1="00000000"/>
  </w:font>
  <w:font w:name="Arial">
    <w:altName w:val="Times New Roman"/>
    <w:panose1 w:val="020B0604020202020204"/>
    <w:charset w:val="00"/>
    <w:family w:val="swiss"/>
    <w:pitch w:val="default"/>
    <w:sig w:usb0="00000000" w:usb1="00000000" w:usb2="00000009" w:usb3="00000000" w:csb0="000001FF" w:csb1="00000000"/>
  </w:font>
  <w:font w:name="文星仿宋">
    <w:altName w:val="仿宋"/>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altName w:val="方正仿宋_GBK"/>
    <w:panose1 w:val="00000000000000000000"/>
    <w:charset w:val="86"/>
    <w:family w:val="auto"/>
    <w:pitch w:val="default"/>
    <w:sig w:usb0="00000000" w:usb1="00000000" w:usb2="00000012" w:usb3="00000000" w:csb0="00040001" w:csb1="00000000"/>
  </w:font>
  <w:font w:name="Arial Unicode MS">
    <w:altName w:val="Times New Roman"/>
    <w:panose1 w:val="020B0604020202020204"/>
    <w:charset w:val="86"/>
    <w:family w:val="swiss"/>
    <w:pitch w:val="default"/>
    <w:sig w:usb0="00000000" w:usb1="00000000" w:usb2="0000003F" w:usb3="00000000" w:csb0="003F01FF" w:csb1="00000000"/>
  </w:font>
  <w:font w:name="微软雅黑">
    <w:altName w:val="黑体"/>
    <w:panose1 w:val="020B0503020204020204"/>
    <w:charset w:val="86"/>
    <w:family w:val="swiss"/>
    <w:pitch w:val="default"/>
    <w:sig w:usb0="00000000" w:usb1="00000000" w:usb2="00000016" w:usb3="00000000" w:csb0="0004001F" w:csb1="00000000"/>
  </w:font>
  <w:font w:name="Courier New">
    <w:altName w:val="DejaVu Sans"/>
    <w:panose1 w:val="02070309020205020404"/>
    <w:charset w:val="00"/>
    <w:family w:val="modern"/>
    <w:pitch w:val="default"/>
    <w:sig w:usb0="00000000" w:usb1="00000000" w:usb2="00000009" w:usb3="00000000" w:csb0="000001FF" w:csb1="00000000"/>
  </w:font>
  <w:font w:name="楷体_GB2312">
    <w:altName w:val="楷体"/>
    <w:panose1 w:val="02010609030101010101"/>
    <w:charset w:val="86"/>
    <w:family w:val="modern"/>
    <w:pitch w:val="default"/>
    <w:sig w:usb0="00000000" w:usb1="00000000" w:usb2="0000001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6199078"/>
    </w:sdtPr>
    <w:sdtContent>
      <w:p>
        <w:pPr>
          <w:pStyle w:val="21"/>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6199079"/>
    </w:sdtPr>
    <w:sdtContent>
      <w:p>
        <w:pPr>
          <w:pStyle w:val="21"/>
          <w:jc w:val="center"/>
        </w:pPr>
        <w:r>
          <w:fldChar w:fldCharType="begin"/>
        </w:r>
        <w:r>
          <w:instrText xml:space="preserve">PAGE   \* MERGEFORMAT</w:instrText>
        </w:r>
        <w:r>
          <w:fldChar w:fldCharType="separate"/>
        </w:r>
        <w:r>
          <w:rPr>
            <w:lang w:val="zh-CN"/>
          </w:rPr>
          <w:t>27</w:t>
        </w:r>
        <w:r>
          <w:rPr>
            <w:lang w:val="zh-CN"/>
          </w:rPr>
          <w:fldChar w:fldCharType="end"/>
        </w:r>
      </w:p>
    </w:sdtContent>
  </w:sdt>
  <w:p>
    <w:pPr>
      <w:pStyle w:val="2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E142E6"/>
    <w:multiLevelType w:val="singleLevel"/>
    <w:tmpl w:val="39E142E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doNotWrapTextWithPunct/>
    <w:doNotUseEastAsianBreakRules/>
    <w:useFELayout/>
    <w:compatSetting w:name="compatibilityMode" w:uri="http://schemas.microsoft.com/office/word" w:val="12"/>
  </w:compat>
  <w:docVars>
    <w:docVar w:name="commondata" w:val="eyJoZGlkIjoiMmM1Mjk0OTY1MWIwZmM5MGY1YWI3ZWNjYzZjOGE5YzYifQ=="/>
  </w:docVars>
  <w:rsids>
    <w:rsidRoot w:val="00C403A3"/>
    <w:rsid w:val="000018CB"/>
    <w:rsid w:val="00005605"/>
    <w:rsid w:val="00005836"/>
    <w:rsid w:val="00007860"/>
    <w:rsid w:val="00007FC0"/>
    <w:rsid w:val="000114C1"/>
    <w:rsid w:val="00013F4B"/>
    <w:rsid w:val="000154E5"/>
    <w:rsid w:val="0002162B"/>
    <w:rsid w:val="00023D70"/>
    <w:rsid w:val="00025AB1"/>
    <w:rsid w:val="00030BEF"/>
    <w:rsid w:val="00033A39"/>
    <w:rsid w:val="00035A30"/>
    <w:rsid w:val="00036EE7"/>
    <w:rsid w:val="0003776B"/>
    <w:rsid w:val="0004133A"/>
    <w:rsid w:val="00042D2A"/>
    <w:rsid w:val="000432B4"/>
    <w:rsid w:val="00046E1C"/>
    <w:rsid w:val="000528DD"/>
    <w:rsid w:val="000548E8"/>
    <w:rsid w:val="00054A63"/>
    <w:rsid w:val="000576E9"/>
    <w:rsid w:val="0006058C"/>
    <w:rsid w:val="00060C6A"/>
    <w:rsid w:val="0006370B"/>
    <w:rsid w:val="00064FDA"/>
    <w:rsid w:val="000650C4"/>
    <w:rsid w:val="0006707D"/>
    <w:rsid w:val="00067304"/>
    <w:rsid w:val="00067C65"/>
    <w:rsid w:val="000713D8"/>
    <w:rsid w:val="000717C6"/>
    <w:rsid w:val="00073741"/>
    <w:rsid w:val="000746C0"/>
    <w:rsid w:val="00074CEA"/>
    <w:rsid w:val="00075608"/>
    <w:rsid w:val="000765E0"/>
    <w:rsid w:val="00081008"/>
    <w:rsid w:val="00084644"/>
    <w:rsid w:val="00084B57"/>
    <w:rsid w:val="00084D42"/>
    <w:rsid w:val="000852D2"/>
    <w:rsid w:val="00092520"/>
    <w:rsid w:val="0009397D"/>
    <w:rsid w:val="000940B2"/>
    <w:rsid w:val="00094473"/>
    <w:rsid w:val="000A08F5"/>
    <w:rsid w:val="000A109E"/>
    <w:rsid w:val="000A3E08"/>
    <w:rsid w:val="000A4682"/>
    <w:rsid w:val="000A4935"/>
    <w:rsid w:val="000A4A41"/>
    <w:rsid w:val="000A512F"/>
    <w:rsid w:val="000A728C"/>
    <w:rsid w:val="000A7C40"/>
    <w:rsid w:val="000B0839"/>
    <w:rsid w:val="000B2031"/>
    <w:rsid w:val="000B2DCD"/>
    <w:rsid w:val="000B42C7"/>
    <w:rsid w:val="000B4B04"/>
    <w:rsid w:val="000B5290"/>
    <w:rsid w:val="000B7103"/>
    <w:rsid w:val="000C12EB"/>
    <w:rsid w:val="000C15D2"/>
    <w:rsid w:val="000C1CAC"/>
    <w:rsid w:val="000C28BB"/>
    <w:rsid w:val="000C2E90"/>
    <w:rsid w:val="000C4B3F"/>
    <w:rsid w:val="000C5227"/>
    <w:rsid w:val="000C5E5C"/>
    <w:rsid w:val="000C60E1"/>
    <w:rsid w:val="000C7980"/>
    <w:rsid w:val="000D15BB"/>
    <w:rsid w:val="000D2190"/>
    <w:rsid w:val="000D2F65"/>
    <w:rsid w:val="000D337A"/>
    <w:rsid w:val="000D77FE"/>
    <w:rsid w:val="000D7F20"/>
    <w:rsid w:val="000E06DB"/>
    <w:rsid w:val="000E1033"/>
    <w:rsid w:val="000E1AF3"/>
    <w:rsid w:val="000E26A8"/>
    <w:rsid w:val="000E3DF8"/>
    <w:rsid w:val="000E4E41"/>
    <w:rsid w:val="000E5142"/>
    <w:rsid w:val="000E5F4C"/>
    <w:rsid w:val="000E7C8B"/>
    <w:rsid w:val="000F0E9F"/>
    <w:rsid w:val="000F17BB"/>
    <w:rsid w:val="000F5026"/>
    <w:rsid w:val="000F5394"/>
    <w:rsid w:val="000F53D8"/>
    <w:rsid w:val="000F562A"/>
    <w:rsid w:val="00100AAB"/>
    <w:rsid w:val="001017F7"/>
    <w:rsid w:val="001034E1"/>
    <w:rsid w:val="00104971"/>
    <w:rsid w:val="00110CBD"/>
    <w:rsid w:val="0011282C"/>
    <w:rsid w:val="0011544B"/>
    <w:rsid w:val="00116456"/>
    <w:rsid w:val="001175DD"/>
    <w:rsid w:val="001178C7"/>
    <w:rsid w:val="00125596"/>
    <w:rsid w:val="00125F13"/>
    <w:rsid w:val="0012664E"/>
    <w:rsid w:val="00127617"/>
    <w:rsid w:val="00130C2F"/>
    <w:rsid w:val="00132EC5"/>
    <w:rsid w:val="00141735"/>
    <w:rsid w:val="00141FD2"/>
    <w:rsid w:val="00142F1B"/>
    <w:rsid w:val="001459A1"/>
    <w:rsid w:val="00146EAD"/>
    <w:rsid w:val="001479F4"/>
    <w:rsid w:val="00147CBB"/>
    <w:rsid w:val="0015078E"/>
    <w:rsid w:val="001514FD"/>
    <w:rsid w:val="00152764"/>
    <w:rsid w:val="00153CA0"/>
    <w:rsid w:val="00154C93"/>
    <w:rsid w:val="00154D3C"/>
    <w:rsid w:val="001575D0"/>
    <w:rsid w:val="00160218"/>
    <w:rsid w:val="0016411A"/>
    <w:rsid w:val="0016539B"/>
    <w:rsid w:val="00166CEB"/>
    <w:rsid w:val="00167E1B"/>
    <w:rsid w:val="00170E4E"/>
    <w:rsid w:val="001725F5"/>
    <w:rsid w:val="00175941"/>
    <w:rsid w:val="00175D30"/>
    <w:rsid w:val="00176E1A"/>
    <w:rsid w:val="0017704E"/>
    <w:rsid w:val="00180D07"/>
    <w:rsid w:val="00180E65"/>
    <w:rsid w:val="00182B0B"/>
    <w:rsid w:val="00182B1A"/>
    <w:rsid w:val="00182C4D"/>
    <w:rsid w:val="00184905"/>
    <w:rsid w:val="0018621B"/>
    <w:rsid w:val="00186392"/>
    <w:rsid w:val="001872C4"/>
    <w:rsid w:val="001920C5"/>
    <w:rsid w:val="00194DED"/>
    <w:rsid w:val="001957D2"/>
    <w:rsid w:val="00195B62"/>
    <w:rsid w:val="001961BF"/>
    <w:rsid w:val="00197DB7"/>
    <w:rsid w:val="00197F00"/>
    <w:rsid w:val="001A0A05"/>
    <w:rsid w:val="001A194F"/>
    <w:rsid w:val="001A2367"/>
    <w:rsid w:val="001A28F3"/>
    <w:rsid w:val="001A3F75"/>
    <w:rsid w:val="001A486D"/>
    <w:rsid w:val="001B1B3D"/>
    <w:rsid w:val="001B4DD8"/>
    <w:rsid w:val="001B512A"/>
    <w:rsid w:val="001B5B07"/>
    <w:rsid w:val="001B7599"/>
    <w:rsid w:val="001C0032"/>
    <w:rsid w:val="001C1DC9"/>
    <w:rsid w:val="001C2369"/>
    <w:rsid w:val="001C39C9"/>
    <w:rsid w:val="001C472F"/>
    <w:rsid w:val="001C556E"/>
    <w:rsid w:val="001C6F94"/>
    <w:rsid w:val="001D0854"/>
    <w:rsid w:val="001D08C8"/>
    <w:rsid w:val="001D10BC"/>
    <w:rsid w:val="001D25BC"/>
    <w:rsid w:val="001D3862"/>
    <w:rsid w:val="001D551D"/>
    <w:rsid w:val="001D5762"/>
    <w:rsid w:val="001D5E16"/>
    <w:rsid w:val="001D62C6"/>
    <w:rsid w:val="001D6495"/>
    <w:rsid w:val="001E1CC2"/>
    <w:rsid w:val="001E24DB"/>
    <w:rsid w:val="001E25B0"/>
    <w:rsid w:val="001E2835"/>
    <w:rsid w:val="001E6CF3"/>
    <w:rsid w:val="001E7E52"/>
    <w:rsid w:val="001E7E99"/>
    <w:rsid w:val="001F05DF"/>
    <w:rsid w:val="001F434C"/>
    <w:rsid w:val="001F59D9"/>
    <w:rsid w:val="001F5E80"/>
    <w:rsid w:val="001F7514"/>
    <w:rsid w:val="00200794"/>
    <w:rsid w:val="002013DE"/>
    <w:rsid w:val="002019AE"/>
    <w:rsid w:val="00202157"/>
    <w:rsid w:val="00203C90"/>
    <w:rsid w:val="00205429"/>
    <w:rsid w:val="00206185"/>
    <w:rsid w:val="002062B6"/>
    <w:rsid w:val="002077C9"/>
    <w:rsid w:val="00211866"/>
    <w:rsid w:val="002125FA"/>
    <w:rsid w:val="002129E7"/>
    <w:rsid w:val="00213FA7"/>
    <w:rsid w:val="002169F2"/>
    <w:rsid w:val="00216AA9"/>
    <w:rsid w:val="00220103"/>
    <w:rsid w:val="002214DA"/>
    <w:rsid w:val="0022247A"/>
    <w:rsid w:val="002226B0"/>
    <w:rsid w:val="00223167"/>
    <w:rsid w:val="00227C04"/>
    <w:rsid w:val="00230124"/>
    <w:rsid w:val="00232C6F"/>
    <w:rsid w:val="00233B49"/>
    <w:rsid w:val="00234B2B"/>
    <w:rsid w:val="00234D43"/>
    <w:rsid w:val="002356B4"/>
    <w:rsid w:val="00235E56"/>
    <w:rsid w:val="00236303"/>
    <w:rsid w:val="00236E23"/>
    <w:rsid w:val="0023753C"/>
    <w:rsid w:val="002403AE"/>
    <w:rsid w:val="002416C4"/>
    <w:rsid w:val="00243960"/>
    <w:rsid w:val="00244BF5"/>
    <w:rsid w:val="00245066"/>
    <w:rsid w:val="00245787"/>
    <w:rsid w:val="0024666A"/>
    <w:rsid w:val="00246C3C"/>
    <w:rsid w:val="00250B8F"/>
    <w:rsid w:val="00250DD7"/>
    <w:rsid w:val="0025291B"/>
    <w:rsid w:val="0025364E"/>
    <w:rsid w:val="00256D9A"/>
    <w:rsid w:val="00260159"/>
    <w:rsid w:val="00264DA6"/>
    <w:rsid w:val="0027025E"/>
    <w:rsid w:val="00272BF3"/>
    <w:rsid w:val="00272F2A"/>
    <w:rsid w:val="0027423A"/>
    <w:rsid w:val="00277DF8"/>
    <w:rsid w:val="00282DBD"/>
    <w:rsid w:val="00283C00"/>
    <w:rsid w:val="00283D7A"/>
    <w:rsid w:val="00283F93"/>
    <w:rsid w:val="002852BF"/>
    <w:rsid w:val="0028694A"/>
    <w:rsid w:val="00287320"/>
    <w:rsid w:val="0028764E"/>
    <w:rsid w:val="002929F5"/>
    <w:rsid w:val="00293E99"/>
    <w:rsid w:val="00297E6A"/>
    <w:rsid w:val="002A035F"/>
    <w:rsid w:val="002A35F3"/>
    <w:rsid w:val="002A4E23"/>
    <w:rsid w:val="002A4E7B"/>
    <w:rsid w:val="002A51DD"/>
    <w:rsid w:val="002A79EB"/>
    <w:rsid w:val="002B0ECB"/>
    <w:rsid w:val="002B21E7"/>
    <w:rsid w:val="002B29D8"/>
    <w:rsid w:val="002B2F89"/>
    <w:rsid w:val="002B3396"/>
    <w:rsid w:val="002B7BCC"/>
    <w:rsid w:val="002C15E4"/>
    <w:rsid w:val="002C173B"/>
    <w:rsid w:val="002C31B5"/>
    <w:rsid w:val="002C6700"/>
    <w:rsid w:val="002C6A21"/>
    <w:rsid w:val="002D0B20"/>
    <w:rsid w:val="002D142E"/>
    <w:rsid w:val="002D1FAA"/>
    <w:rsid w:val="002D49A1"/>
    <w:rsid w:val="002D6CB6"/>
    <w:rsid w:val="002D74CD"/>
    <w:rsid w:val="002E060E"/>
    <w:rsid w:val="002E2DD6"/>
    <w:rsid w:val="002E3CC7"/>
    <w:rsid w:val="002E461B"/>
    <w:rsid w:val="002E6384"/>
    <w:rsid w:val="002E6B1A"/>
    <w:rsid w:val="0030073A"/>
    <w:rsid w:val="003013DF"/>
    <w:rsid w:val="003014FB"/>
    <w:rsid w:val="00301611"/>
    <w:rsid w:val="00302EED"/>
    <w:rsid w:val="00303B32"/>
    <w:rsid w:val="0030761A"/>
    <w:rsid w:val="00307C4B"/>
    <w:rsid w:val="00312C1E"/>
    <w:rsid w:val="003152E3"/>
    <w:rsid w:val="00316448"/>
    <w:rsid w:val="00317C96"/>
    <w:rsid w:val="00322B48"/>
    <w:rsid w:val="00326C57"/>
    <w:rsid w:val="0032747C"/>
    <w:rsid w:val="00331823"/>
    <w:rsid w:val="00331FEB"/>
    <w:rsid w:val="00334BC8"/>
    <w:rsid w:val="00334CF3"/>
    <w:rsid w:val="00335724"/>
    <w:rsid w:val="0034004F"/>
    <w:rsid w:val="00342F1C"/>
    <w:rsid w:val="00345DEA"/>
    <w:rsid w:val="003468E1"/>
    <w:rsid w:val="003476E4"/>
    <w:rsid w:val="00351CBB"/>
    <w:rsid w:val="00355266"/>
    <w:rsid w:val="00360888"/>
    <w:rsid w:val="00360EA3"/>
    <w:rsid w:val="00363A99"/>
    <w:rsid w:val="00366B72"/>
    <w:rsid w:val="00371EED"/>
    <w:rsid w:val="003724D8"/>
    <w:rsid w:val="00372F1C"/>
    <w:rsid w:val="003734CB"/>
    <w:rsid w:val="00375D3C"/>
    <w:rsid w:val="00377AFA"/>
    <w:rsid w:val="0038042B"/>
    <w:rsid w:val="0038079F"/>
    <w:rsid w:val="00380873"/>
    <w:rsid w:val="00381676"/>
    <w:rsid w:val="003821C1"/>
    <w:rsid w:val="00384BBB"/>
    <w:rsid w:val="0038584D"/>
    <w:rsid w:val="003863D6"/>
    <w:rsid w:val="00391047"/>
    <w:rsid w:val="003916BC"/>
    <w:rsid w:val="00393F74"/>
    <w:rsid w:val="00394C6D"/>
    <w:rsid w:val="00395D10"/>
    <w:rsid w:val="00396357"/>
    <w:rsid w:val="00396AD8"/>
    <w:rsid w:val="003977E7"/>
    <w:rsid w:val="003A032D"/>
    <w:rsid w:val="003A0BB2"/>
    <w:rsid w:val="003A0D95"/>
    <w:rsid w:val="003A11F7"/>
    <w:rsid w:val="003A1A44"/>
    <w:rsid w:val="003A412E"/>
    <w:rsid w:val="003A6857"/>
    <w:rsid w:val="003A7958"/>
    <w:rsid w:val="003A7C4A"/>
    <w:rsid w:val="003B03C5"/>
    <w:rsid w:val="003B47EF"/>
    <w:rsid w:val="003B509A"/>
    <w:rsid w:val="003B5EF3"/>
    <w:rsid w:val="003C0343"/>
    <w:rsid w:val="003C0B71"/>
    <w:rsid w:val="003C1C1B"/>
    <w:rsid w:val="003C221A"/>
    <w:rsid w:val="003C2663"/>
    <w:rsid w:val="003C38DD"/>
    <w:rsid w:val="003C6360"/>
    <w:rsid w:val="003C6C35"/>
    <w:rsid w:val="003C7A0B"/>
    <w:rsid w:val="003C7D4E"/>
    <w:rsid w:val="003D12F1"/>
    <w:rsid w:val="003D21EE"/>
    <w:rsid w:val="003D2918"/>
    <w:rsid w:val="003D2E92"/>
    <w:rsid w:val="003D36D6"/>
    <w:rsid w:val="003D5D13"/>
    <w:rsid w:val="003D60EF"/>
    <w:rsid w:val="003D663C"/>
    <w:rsid w:val="003D73E9"/>
    <w:rsid w:val="003E20A0"/>
    <w:rsid w:val="003E2CBB"/>
    <w:rsid w:val="003E458B"/>
    <w:rsid w:val="003E6608"/>
    <w:rsid w:val="003E71A3"/>
    <w:rsid w:val="003E765E"/>
    <w:rsid w:val="003F1114"/>
    <w:rsid w:val="003F14C8"/>
    <w:rsid w:val="003F2174"/>
    <w:rsid w:val="003F52EF"/>
    <w:rsid w:val="003F5339"/>
    <w:rsid w:val="003F6DB0"/>
    <w:rsid w:val="003F7720"/>
    <w:rsid w:val="00401D8F"/>
    <w:rsid w:val="00401FA9"/>
    <w:rsid w:val="00402835"/>
    <w:rsid w:val="0040425C"/>
    <w:rsid w:val="0040682A"/>
    <w:rsid w:val="0040730F"/>
    <w:rsid w:val="00410F07"/>
    <w:rsid w:val="004111D5"/>
    <w:rsid w:val="004177ED"/>
    <w:rsid w:val="00417CA5"/>
    <w:rsid w:val="00417DD3"/>
    <w:rsid w:val="0042502F"/>
    <w:rsid w:val="00427601"/>
    <w:rsid w:val="00427AC6"/>
    <w:rsid w:val="00436BF3"/>
    <w:rsid w:val="00436DA0"/>
    <w:rsid w:val="00437857"/>
    <w:rsid w:val="00440B47"/>
    <w:rsid w:val="00441A51"/>
    <w:rsid w:val="004422F1"/>
    <w:rsid w:val="00443B66"/>
    <w:rsid w:val="00445AB6"/>
    <w:rsid w:val="00447611"/>
    <w:rsid w:val="0045200A"/>
    <w:rsid w:val="0045461C"/>
    <w:rsid w:val="00454A12"/>
    <w:rsid w:val="00456A60"/>
    <w:rsid w:val="004639B1"/>
    <w:rsid w:val="00465116"/>
    <w:rsid w:val="00465F1C"/>
    <w:rsid w:val="00466CE0"/>
    <w:rsid w:val="004710ED"/>
    <w:rsid w:val="004712BB"/>
    <w:rsid w:val="00471A6D"/>
    <w:rsid w:val="00472331"/>
    <w:rsid w:val="004732FB"/>
    <w:rsid w:val="00475FE1"/>
    <w:rsid w:val="00476F42"/>
    <w:rsid w:val="0048193F"/>
    <w:rsid w:val="0048367F"/>
    <w:rsid w:val="00483E8E"/>
    <w:rsid w:val="00485372"/>
    <w:rsid w:val="0048662C"/>
    <w:rsid w:val="00486A79"/>
    <w:rsid w:val="0048752E"/>
    <w:rsid w:val="00493501"/>
    <w:rsid w:val="0049403A"/>
    <w:rsid w:val="004953A5"/>
    <w:rsid w:val="004A1027"/>
    <w:rsid w:val="004A1551"/>
    <w:rsid w:val="004A278F"/>
    <w:rsid w:val="004A3DE5"/>
    <w:rsid w:val="004A5525"/>
    <w:rsid w:val="004A5C5D"/>
    <w:rsid w:val="004A7039"/>
    <w:rsid w:val="004A750C"/>
    <w:rsid w:val="004B1415"/>
    <w:rsid w:val="004B1865"/>
    <w:rsid w:val="004B32BB"/>
    <w:rsid w:val="004B4629"/>
    <w:rsid w:val="004B51B3"/>
    <w:rsid w:val="004B5AF2"/>
    <w:rsid w:val="004B5E0F"/>
    <w:rsid w:val="004B73FF"/>
    <w:rsid w:val="004C5AC9"/>
    <w:rsid w:val="004D3051"/>
    <w:rsid w:val="004D3577"/>
    <w:rsid w:val="004D358A"/>
    <w:rsid w:val="004D3CCC"/>
    <w:rsid w:val="004D3EA7"/>
    <w:rsid w:val="004D4CBA"/>
    <w:rsid w:val="004D4DCE"/>
    <w:rsid w:val="004D513D"/>
    <w:rsid w:val="004D5453"/>
    <w:rsid w:val="004D6C03"/>
    <w:rsid w:val="004D7137"/>
    <w:rsid w:val="004D71F4"/>
    <w:rsid w:val="004D7D56"/>
    <w:rsid w:val="004E129F"/>
    <w:rsid w:val="004E4348"/>
    <w:rsid w:val="004E7633"/>
    <w:rsid w:val="004E7FF0"/>
    <w:rsid w:val="004F11DA"/>
    <w:rsid w:val="004F32FA"/>
    <w:rsid w:val="004F42CD"/>
    <w:rsid w:val="004F45C0"/>
    <w:rsid w:val="004F4866"/>
    <w:rsid w:val="004F69CE"/>
    <w:rsid w:val="00501D83"/>
    <w:rsid w:val="00501E0C"/>
    <w:rsid w:val="00503010"/>
    <w:rsid w:val="005054C3"/>
    <w:rsid w:val="00505B44"/>
    <w:rsid w:val="005066CF"/>
    <w:rsid w:val="005118DA"/>
    <w:rsid w:val="005125F1"/>
    <w:rsid w:val="00512D85"/>
    <w:rsid w:val="0051375C"/>
    <w:rsid w:val="00514CCE"/>
    <w:rsid w:val="00514E5B"/>
    <w:rsid w:val="005156AF"/>
    <w:rsid w:val="005163BC"/>
    <w:rsid w:val="005167C7"/>
    <w:rsid w:val="005210F2"/>
    <w:rsid w:val="00521448"/>
    <w:rsid w:val="00521BF7"/>
    <w:rsid w:val="00521C1A"/>
    <w:rsid w:val="00525301"/>
    <w:rsid w:val="0052534A"/>
    <w:rsid w:val="00526F76"/>
    <w:rsid w:val="00530A5D"/>
    <w:rsid w:val="0053189A"/>
    <w:rsid w:val="00531EB0"/>
    <w:rsid w:val="00532829"/>
    <w:rsid w:val="00533DEE"/>
    <w:rsid w:val="00535E45"/>
    <w:rsid w:val="0053736F"/>
    <w:rsid w:val="005378D9"/>
    <w:rsid w:val="00537EDF"/>
    <w:rsid w:val="00546AD5"/>
    <w:rsid w:val="0054742E"/>
    <w:rsid w:val="00550451"/>
    <w:rsid w:val="0055142F"/>
    <w:rsid w:val="005523F8"/>
    <w:rsid w:val="0055400F"/>
    <w:rsid w:val="00555C6B"/>
    <w:rsid w:val="00557306"/>
    <w:rsid w:val="00557B49"/>
    <w:rsid w:val="005609D8"/>
    <w:rsid w:val="00561485"/>
    <w:rsid w:val="005614E9"/>
    <w:rsid w:val="00561C1E"/>
    <w:rsid w:val="00566989"/>
    <w:rsid w:val="005670AC"/>
    <w:rsid w:val="00567798"/>
    <w:rsid w:val="00571C33"/>
    <w:rsid w:val="00574F49"/>
    <w:rsid w:val="00575291"/>
    <w:rsid w:val="005756AD"/>
    <w:rsid w:val="0057619D"/>
    <w:rsid w:val="00576C6B"/>
    <w:rsid w:val="00577110"/>
    <w:rsid w:val="00581D02"/>
    <w:rsid w:val="00583C58"/>
    <w:rsid w:val="00583D5D"/>
    <w:rsid w:val="005844FB"/>
    <w:rsid w:val="00584DB6"/>
    <w:rsid w:val="00585894"/>
    <w:rsid w:val="005861DC"/>
    <w:rsid w:val="00586A1F"/>
    <w:rsid w:val="00586B32"/>
    <w:rsid w:val="00587D3F"/>
    <w:rsid w:val="00590C86"/>
    <w:rsid w:val="00592B0E"/>
    <w:rsid w:val="00594E32"/>
    <w:rsid w:val="005A1234"/>
    <w:rsid w:val="005A1BA3"/>
    <w:rsid w:val="005A3046"/>
    <w:rsid w:val="005A4B0B"/>
    <w:rsid w:val="005B0221"/>
    <w:rsid w:val="005B23FB"/>
    <w:rsid w:val="005B2A81"/>
    <w:rsid w:val="005B2F9B"/>
    <w:rsid w:val="005B2FA4"/>
    <w:rsid w:val="005B3A68"/>
    <w:rsid w:val="005B469B"/>
    <w:rsid w:val="005B7995"/>
    <w:rsid w:val="005C76F1"/>
    <w:rsid w:val="005C7B5E"/>
    <w:rsid w:val="005D21EB"/>
    <w:rsid w:val="005D3D0B"/>
    <w:rsid w:val="005D5FA5"/>
    <w:rsid w:val="005D6326"/>
    <w:rsid w:val="005D755E"/>
    <w:rsid w:val="005E1BBA"/>
    <w:rsid w:val="005E3552"/>
    <w:rsid w:val="005E35CB"/>
    <w:rsid w:val="005E505A"/>
    <w:rsid w:val="005E58F5"/>
    <w:rsid w:val="005E6920"/>
    <w:rsid w:val="005F2DE9"/>
    <w:rsid w:val="005F3B27"/>
    <w:rsid w:val="005F4D6D"/>
    <w:rsid w:val="005F52DA"/>
    <w:rsid w:val="00601035"/>
    <w:rsid w:val="00601ACA"/>
    <w:rsid w:val="00602708"/>
    <w:rsid w:val="0060505D"/>
    <w:rsid w:val="00607929"/>
    <w:rsid w:val="00611EDD"/>
    <w:rsid w:val="00614C56"/>
    <w:rsid w:val="00615D64"/>
    <w:rsid w:val="00615F1E"/>
    <w:rsid w:val="006160E1"/>
    <w:rsid w:val="00616F6A"/>
    <w:rsid w:val="00617C0D"/>
    <w:rsid w:val="00617CAD"/>
    <w:rsid w:val="00622523"/>
    <w:rsid w:val="006266D1"/>
    <w:rsid w:val="00626A0F"/>
    <w:rsid w:val="00626CFE"/>
    <w:rsid w:val="00627378"/>
    <w:rsid w:val="00627FF6"/>
    <w:rsid w:val="006301AD"/>
    <w:rsid w:val="00630A20"/>
    <w:rsid w:val="00630B69"/>
    <w:rsid w:val="00633EAA"/>
    <w:rsid w:val="006350EE"/>
    <w:rsid w:val="00647C06"/>
    <w:rsid w:val="00652855"/>
    <w:rsid w:val="00653355"/>
    <w:rsid w:val="00653EE1"/>
    <w:rsid w:val="00654449"/>
    <w:rsid w:val="00657978"/>
    <w:rsid w:val="00662FFE"/>
    <w:rsid w:val="006630F5"/>
    <w:rsid w:val="00663115"/>
    <w:rsid w:val="00663A19"/>
    <w:rsid w:val="0066474A"/>
    <w:rsid w:val="00666058"/>
    <w:rsid w:val="00666510"/>
    <w:rsid w:val="00666C1F"/>
    <w:rsid w:val="006719F8"/>
    <w:rsid w:val="006755CB"/>
    <w:rsid w:val="00676FB2"/>
    <w:rsid w:val="00677F43"/>
    <w:rsid w:val="00680B60"/>
    <w:rsid w:val="00681724"/>
    <w:rsid w:val="0068230C"/>
    <w:rsid w:val="00684526"/>
    <w:rsid w:val="0068489B"/>
    <w:rsid w:val="00685E06"/>
    <w:rsid w:val="006872A3"/>
    <w:rsid w:val="0068772C"/>
    <w:rsid w:val="006902E1"/>
    <w:rsid w:val="006908F7"/>
    <w:rsid w:val="00692C98"/>
    <w:rsid w:val="0069578D"/>
    <w:rsid w:val="006A00D2"/>
    <w:rsid w:val="006A34E4"/>
    <w:rsid w:val="006A6606"/>
    <w:rsid w:val="006B0738"/>
    <w:rsid w:val="006B186A"/>
    <w:rsid w:val="006B1997"/>
    <w:rsid w:val="006B6E06"/>
    <w:rsid w:val="006B7285"/>
    <w:rsid w:val="006C03DF"/>
    <w:rsid w:val="006C1573"/>
    <w:rsid w:val="006C2C65"/>
    <w:rsid w:val="006C3446"/>
    <w:rsid w:val="006C50EC"/>
    <w:rsid w:val="006D51F4"/>
    <w:rsid w:val="006D5CD6"/>
    <w:rsid w:val="006D6F24"/>
    <w:rsid w:val="006E2F62"/>
    <w:rsid w:val="006E5A8F"/>
    <w:rsid w:val="006E6438"/>
    <w:rsid w:val="006F4B0F"/>
    <w:rsid w:val="006F4CB3"/>
    <w:rsid w:val="006F7575"/>
    <w:rsid w:val="006F75DD"/>
    <w:rsid w:val="006F7E89"/>
    <w:rsid w:val="007003ED"/>
    <w:rsid w:val="007007D4"/>
    <w:rsid w:val="007016FC"/>
    <w:rsid w:val="00701A62"/>
    <w:rsid w:val="00702144"/>
    <w:rsid w:val="00703C30"/>
    <w:rsid w:val="00704CD5"/>
    <w:rsid w:val="0070515C"/>
    <w:rsid w:val="00706AC2"/>
    <w:rsid w:val="0071093F"/>
    <w:rsid w:val="00710DED"/>
    <w:rsid w:val="00712836"/>
    <w:rsid w:val="007129C9"/>
    <w:rsid w:val="00713B09"/>
    <w:rsid w:val="00715F6F"/>
    <w:rsid w:val="007160A2"/>
    <w:rsid w:val="007231A6"/>
    <w:rsid w:val="00723982"/>
    <w:rsid w:val="00723FA8"/>
    <w:rsid w:val="007251B2"/>
    <w:rsid w:val="007251DA"/>
    <w:rsid w:val="0072530B"/>
    <w:rsid w:val="00726618"/>
    <w:rsid w:val="007273C3"/>
    <w:rsid w:val="0072767C"/>
    <w:rsid w:val="007301C6"/>
    <w:rsid w:val="00730F96"/>
    <w:rsid w:val="007335E4"/>
    <w:rsid w:val="00733B46"/>
    <w:rsid w:val="00735B2B"/>
    <w:rsid w:val="00740B91"/>
    <w:rsid w:val="00740EB8"/>
    <w:rsid w:val="00741155"/>
    <w:rsid w:val="0074151E"/>
    <w:rsid w:val="00742801"/>
    <w:rsid w:val="007443D3"/>
    <w:rsid w:val="00744FC6"/>
    <w:rsid w:val="00745658"/>
    <w:rsid w:val="00746A7B"/>
    <w:rsid w:val="00746DE4"/>
    <w:rsid w:val="00747021"/>
    <w:rsid w:val="00747AF1"/>
    <w:rsid w:val="0075153F"/>
    <w:rsid w:val="007539B8"/>
    <w:rsid w:val="00755B6A"/>
    <w:rsid w:val="007618AE"/>
    <w:rsid w:val="00764C4D"/>
    <w:rsid w:val="00765C30"/>
    <w:rsid w:val="00766FB7"/>
    <w:rsid w:val="00771434"/>
    <w:rsid w:val="007755B5"/>
    <w:rsid w:val="00777843"/>
    <w:rsid w:val="007801C9"/>
    <w:rsid w:val="0078091E"/>
    <w:rsid w:val="00780F01"/>
    <w:rsid w:val="00782274"/>
    <w:rsid w:val="007841F7"/>
    <w:rsid w:val="0078438C"/>
    <w:rsid w:val="00785074"/>
    <w:rsid w:val="00785B44"/>
    <w:rsid w:val="0078631F"/>
    <w:rsid w:val="0078703C"/>
    <w:rsid w:val="00790EAD"/>
    <w:rsid w:val="00792A2B"/>
    <w:rsid w:val="00795894"/>
    <w:rsid w:val="00797010"/>
    <w:rsid w:val="007A1270"/>
    <w:rsid w:val="007A13E4"/>
    <w:rsid w:val="007A24D8"/>
    <w:rsid w:val="007A25FB"/>
    <w:rsid w:val="007A42D3"/>
    <w:rsid w:val="007A5336"/>
    <w:rsid w:val="007A7C34"/>
    <w:rsid w:val="007B1DB2"/>
    <w:rsid w:val="007B3327"/>
    <w:rsid w:val="007B745C"/>
    <w:rsid w:val="007B7C05"/>
    <w:rsid w:val="007B7C71"/>
    <w:rsid w:val="007C0A68"/>
    <w:rsid w:val="007C1199"/>
    <w:rsid w:val="007C1A70"/>
    <w:rsid w:val="007C2B83"/>
    <w:rsid w:val="007C3AF6"/>
    <w:rsid w:val="007C3CAF"/>
    <w:rsid w:val="007C4CF2"/>
    <w:rsid w:val="007C728A"/>
    <w:rsid w:val="007D02D1"/>
    <w:rsid w:val="007D33A2"/>
    <w:rsid w:val="007D3B57"/>
    <w:rsid w:val="007D4219"/>
    <w:rsid w:val="007D4467"/>
    <w:rsid w:val="007D4B58"/>
    <w:rsid w:val="007D65CA"/>
    <w:rsid w:val="007E01B4"/>
    <w:rsid w:val="007E4871"/>
    <w:rsid w:val="007E6F7E"/>
    <w:rsid w:val="007F1EAF"/>
    <w:rsid w:val="007F30E0"/>
    <w:rsid w:val="007F53B7"/>
    <w:rsid w:val="007F7B63"/>
    <w:rsid w:val="008000A3"/>
    <w:rsid w:val="00800CEB"/>
    <w:rsid w:val="008012C0"/>
    <w:rsid w:val="00803880"/>
    <w:rsid w:val="008043A2"/>
    <w:rsid w:val="008043B2"/>
    <w:rsid w:val="0080654A"/>
    <w:rsid w:val="008066FF"/>
    <w:rsid w:val="00806E83"/>
    <w:rsid w:val="00807535"/>
    <w:rsid w:val="008109E8"/>
    <w:rsid w:val="00810CF7"/>
    <w:rsid w:val="00811D4E"/>
    <w:rsid w:val="00813A00"/>
    <w:rsid w:val="00815964"/>
    <w:rsid w:val="00815A65"/>
    <w:rsid w:val="00815FEE"/>
    <w:rsid w:val="0081622F"/>
    <w:rsid w:val="008163AE"/>
    <w:rsid w:val="008206AE"/>
    <w:rsid w:val="008214B0"/>
    <w:rsid w:val="00823BC7"/>
    <w:rsid w:val="008264D7"/>
    <w:rsid w:val="00826E41"/>
    <w:rsid w:val="008313AE"/>
    <w:rsid w:val="00831584"/>
    <w:rsid w:val="008324FD"/>
    <w:rsid w:val="00832505"/>
    <w:rsid w:val="008362E9"/>
    <w:rsid w:val="00836DC6"/>
    <w:rsid w:val="008371BA"/>
    <w:rsid w:val="00837246"/>
    <w:rsid w:val="008400DD"/>
    <w:rsid w:val="0084548D"/>
    <w:rsid w:val="0084659A"/>
    <w:rsid w:val="00847319"/>
    <w:rsid w:val="00853816"/>
    <w:rsid w:val="00853964"/>
    <w:rsid w:val="00853D9B"/>
    <w:rsid w:val="00853DDD"/>
    <w:rsid w:val="00854016"/>
    <w:rsid w:val="00855F9D"/>
    <w:rsid w:val="008563D0"/>
    <w:rsid w:val="008574AA"/>
    <w:rsid w:val="0086167E"/>
    <w:rsid w:val="00862BBC"/>
    <w:rsid w:val="0086330D"/>
    <w:rsid w:val="00863440"/>
    <w:rsid w:val="00863BB5"/>
    <w:rsid w:val="00864883"/>
    <w:rsid w:val="008659E1"/>
    <w:rsid w:val="00865C6C"/>
    <w:rsid w:val="0087174F"/>
    <w:rsid w:val="00871D76"/>
    <w:rsid w:val="00872D42"/>
    <w:rsid w:val="00873AD4"/>
    <w:rsid w:val="00875F5C"/>
    <w:rsid w:val="00880584"/>
    <w:rsid w:val="00881198"/>
    <w:rsid w:val="00883AED"/>
    <w:rsid w:val="008851D7"/>
    <w:rsid w:val="00886528"/>
    <w:rsid w:val="00887D25"/>
    <w:rsid w:val="00890533"/>
    <w:rsid w:val="00890649"/>
    <w:rsid w:val="00891D63"/>
    <w:rsid w:val="00892969"/>
    <w:rsid w:val="00892BEE"/>
    <w:rsid w:val="00893ABF"/>
    <w:rsid w:val="008A0CC5"/>
    <w:rsid w:val="008A4445"/>
    <w:rsid w:val="008A47E7"/>
    <w:rsid w:val="008A596E"/>
    <w:rsid w:val="008A5EE5"/>
    <w:rsid w:val="008A68FA"/>
    <w:rsid w:val="008A6937"/>
    <w:rsid w:val="008B09D3"/>
    <w:rsid w:val="008B0E17"/>
    <w:rsid w:val="008B13AA"/>
    <w:rsid w:val="008B29AB"/>
    <w:rsid w:val="008B669A"/>
    <w:rsid w:val="008B6BF7"/>
    <w:rsid w:val="008B7A93"/>
    <w:rsid w:val="008C144D"/>
    <w:rsid w:val="008C485B"/>
    <w:rsid w:val="008C5404"/>
    <w:rsid w:val="008C62E5"/>
    <w:rsid w:val="008C7C0A"/>
    <w:rsid w:val="008C7E46"/>
    <w:rsid w:val="008D2C0E"/>
    <w:rsid w:val="008D39AB"/>
    <w:rsid w:val="008D41C0"/>
    <w:rsid w:val="008D4A9B"/>
    <w:rsid w:val="008D6F02"/>
    <w:rsid w:val="008E1034"/>
    <w:rsid w:val="008E1AC7"/>
    <w:rsid w:val="008E2ADB"/>
    <w:rsid w:val="008E4B63"/>
    <w:rsid w:val="008E5E0E"/>
    <w:rsid w:val="008E7FFC"/>
    <w:rsid w:val="008F0D7F"/>
    <w:rsid w:val="008F17BF"/>
    <w:rsid w:val="008F33D4"/>
    <w:rsid w:val="008F3712"/>
    <w:rsid w:val="008F3E2E"/>
    <w:rsid w:val="008F4F35"/>
    <w:rsid w:val="008F5130"/>
    <w:rsid w:val="008F5BF7"/>
    <w:rsid w:val="008F5D00"/>
    <w:rsid w:val="008F6379"/>
    <w:rsid w:val="008F7E1E"/>
    <w:rsid w:val="0090112E"/>
    <w:rsid w:val="00902C17"/>
    <w:rsid w:val="0091214C"/>
    <w:rsid w:val="009128B5"/>
    <w:rsid w:val="009132D9"/>
    <w:rsid w:val="0091419D"/>
    <w:rsid w:val="00915F5E"/>
    <w:rsid w:val="00916F07"/>
    <w:rsid w:val="0091705F"/>
    <w:rsid w:val="0091711E"/>
    <w:rsid w:val="009203B8"/>
    <w:rsid w:val="00922951"/>
    <w:rsid w:val="00923000"/>
    <w:rsid w:val="009259F5"/>
    <w:rsid w:val="00925CAC"/>
    <w:rsid w:val="00926140"/>
    <w:rsid w:val="00931FF5"/>
    <w:rsid w:val="009322E3"/>
    <w:rsid w:val="009326AD"/>
    <w:rsid w:val="009339C7"/>
    <w:rsid w:val="00936CEB"/>
    <w:rsid w:val="00937A51"/>
    <w:rsid w:val="00941573"/>
    <w:rsid w:val="009423B0"/>
    <w:rsid w:val="009428B6"/>
    <w:rsid w:val="00944A09"/>
    <w:rsid w:val="00945721"/>
    <w:rsid w:val="0094595A"/>
    <w:rsid w:val="00950919"/>
    <w:rsid w:val="0095228C"/>
    <w:rsid w:val="00954542"/>
    <w:rsid w:val="00954F57"/>
    <w:rsid w:val="0095512F"/>
    <w:rsid w:val="00957F18"/>
    <w:rsid w:val="00962B3F"/>
    <w:rsid w:val="00963CCF"/>
    <w:rsid w:val="00964A47"/>
    <w:rsid w:val="009661FE"/>
    <w:rsid w:val="00967BA0"/>
    <w:rsid w:val="00970435"/>
    <w:rsid w:val="009712B0"/>
    <w:rsid w:val="009745DB"/>
    <w:rsid w:val="0097512A"/>
    <w:rsid w:val="00975A53"/>
    <w:rsid w:val="00976E82"/>
    <w:rsid w:val="00977238"/>
    <w:rsid w:val="00980E10"/>
    <w:rsid w:val="009862DB"/>
    <w:rsid w:val="009901AA"/>
    <w:rsid w:val="00995B9E"/>
    <w:rsid w:val="009A059D"/>
    <w:rsid w:val="009A08F2"/>
    <w:rsid w:val="009A0E1C"/>
    <w:rsid w:val="009A34D6"/>
    <w:rsid w:val="009A4731"/>
    <w:rsid w:val="009A49C3"/>
    <w:rsid w:val="009A5920"/>
    <w:rsid w:val="009A7A95"/>
    <w:rsid w:val="009B0B2B"/>
    <w:rsid w:val="009B1A65"/>
    <w:rsid w:val="009B3E98"/>
    <w:rsid w:val="009B421C"/>
    <w:rsid w:val="009B5C35"/>
    <w:rsid w:val="009B6395"/>
    <w:rsid w:val="009B6B88"/>
    <w:rsid w:val="009B6F07"/>
    <w:rsid w:val="009C1CA0"/>
    <w:rsid w:val="009C480E"/>
    <w:rsid w:val="009C53CA"/>
    <w:rsid w:val="009D1297"/>
    <w:rsid w:val="009D190F"/>
    <w:rsid w:val="009D3142"/>
    <w:rsid w:val="009D4D37"/>
    <w:rsid w:val="009D5092"/>
    <w:rsid w:val="009D6219"/>
    <w:rsid w:val="009D6D03"/>
    <w:rsid w:val="009E1204"/>
    <w:rsid w:val="009E4663"/>
    <w:rsid w:val="009E4A44"/>
    <w:rsid w:val="009E5466"/>
    <w:rsid w:val="009E6269"/>
    <w:rsid w:val="009E72D9"/>
    <w:rsid w:val="009F0193"/>
    <w:rsid w:val="009F0F63"/>
    <w:rsid w:val="009F3C95"/>
    <w:rsid w:val="009F592E"/>
    <w:rsid w:val="00A000B4"/>
    <w:rsid w:val="00A01A2C"/>
    <w:rsid w:val="00A01FFB"/>
    <w:rsid w:val="00A0229A"/>
    <w:rsid w:val="00A02C81"/>
    <w:rsid w:val="00A02EE2"/>
    <w:rsid w:val="00A055FC"/>
    <w:rsid w:val="00A06F7E"/>
    <w:rsid w:val="00A07614"/>
    <w:rsid w:val="00A10E68"/>
    <w:rsid w:val="00A125DA"/>
    <w:rsid w:val="00A16CBE"/>
    <w:rsid w:val="00A20137"/>
    <w:rsid w:val="00A21CF2"/>
    <w:rsid w:val="00A23411"/>
    <w:rsid w:val="00A2380C"/>
    <w:rsid w:val="00A2385D"/>
    <w:rsid w:val="00A24B8E"/>
    <w:rsid w:val="00A25064"/>
    <w:rsid w:val="00A26799"/>
    <w:rsid w:val="00A3247A"/>
    <w:rsid w:val="00A32B91"/>
    <w:rsid w:val="00A3325B"/>
    <w:rsid w:val="00A33F57"/>
    <w:rsid w:val="00A35B19"/>
    <w:rsid w:val="00A361A9"/>
    <w:rsid w:val="00A37B5C"/>
    <w:rsid w:val="00A400BD"/>
    <w:rsid w:val="00A42545"/>
    <w:rsid w:val="00A4293B"/>
    <w:rsid w:val="00A42B85"/>
    <w:rsid w:val="00A4300D"/>
    <w:rsid w:val="00A445E5"/>
    <w:rsid w:val="00A44E2F"/>
    <w:rsid w:val="00A455FA"/>
    <w:rsid w:val="00A51917"/>
    <w:rsid w:val="00A51B5B"/>
    <w:rsid w:val="00A56032"/>
    <w:rsid w:val="00A578FD"/>
    <w:rsid w:val="00A615BF"/>
    <w:rsid w:val="00A61C2F"/>
    <w:rsid w:val="00A64831"/>
    <w:rsid w:val="00A64ECD"/>
    <w:rsid w:val="00A66249"/>
    <w:rsid w:val="00A678B1"/>
    <w:rsid w:val="00A67934"/>
    <w:rsid w:val="00A70EB6"/>
    <w:rsid w:val="00A71569"/>
    <w:rsid w:val="00A7244A"/>
    <w:rsid w:val="00A74E5C"/>
    <w:rsid w:val="00A77259"/>
    <w:rsid w:val="00A81468"/>
    <w:rsid w:val="00A84C84"/>
    <w:rsid w:val="00A85C15"/>
    <w:rsid w:val="00A8784B"/>
    <w:rsid w:val="00A9084C"/>
    <w:rsid w:val="00A90892"/>
    <w:rsid w:val="00A9380F"/>
    <w:rsid w:val="00A945FC"/>
    <w:rsid w:val="00A9514D"/>
    <w:rsid w:val="00A9595E"/>
    <w:rsid w:val="00AA2DD0"/>
    <w:rsid w:val="00AA38D0"/>
    <w:rsid w:val="00AA3EDA"/>
    <w:rsid w:val="00AA5A02"/>
    <w:rsid w:val="00AA6996"/>
    <w:rsid w:val="00AA6B5D"/>
    <w:rsid w:val="00AB298C"/>
    <w:rsid w:val="00AB2F70"/>
    <w:rsid w:val="00AB35FB"/>
    <w:rsid w:val="00AB3D5E"/>
    <w:rsid w:val="00AB433F"/>
    <w:rsid w:val="00AB4C27"/>
    <w:rsid w:val="00AB7AB4"/>
    <w:rsid w:val="00AB7EFC"/>
    <w:rsid w:val="00AC2B4C"/>
    <w:rsid w:val="00AC2C3A"/>
    <w:rsid w:val="00AC311C"/>
    <w:rsid w:val="00AC5106"/>
    <w:rsid w:val="00AC5196"/>
    <w:rsid w:val="00AC7CA4"/>
    <w:rsid w:val="00AD0E33"/>
    <w:rsid w:val="00AD0E5A"/>
    <w:rsid w:val="00AD373F"/>
    <w:rsid w:val="00AD3D0B"/>
    <w:rsid w:val="00AD3D53"/>
    <w:rsid w:val="00AD5A78"/>
    <w:rsid w:val="00AD5CE1"/>
    <w:rsid w:val="00AD7D5B"/>
    <w:rsid w:val="00AD7D74"/>
    <w:rsid w:val="00AE029E"/>
    <w:rsid w:val="00AE354D"/>
    <w:rsid w:val="00AE36A4"/>
    <w:rsid w:val="00AE7444"/>
    <w:rsid w:val="00AE7DBC"/>
    <w:rsid w:val="00B010DE"/>
    <w:rsid w:val="00B02B2C"/>
    <w:rsid w:val="00B036D1"/>
    <w:rsid w:val="00B046DD"/>
    <w:rsid w:val="00B049A9"/>
    <w:rsid w:val="00B06854"/>
    <w:rsid w:val="00B13949"/>
    <w:rsid w:val="00B1504F"/>
    <w:rsid w:val="00B15188"/>
    <w:rsid w:val="00B16341"/>
    <w:rsid w:val="00B1657F"/>
    <w:rsid w:val="00B208DB"/>
    <w:rsid w:val="00B209D4"/>
    <w:rsid w:val="00B2143D"/>
    <w:rsid w:val="00B217F5"/>
    <w:rsid w:val="00B2215C"/>
    <w:rsid w:val="00B2336B"/>
    <w:rsid w:val="00B24AF8"/>
    <w:rsid w:val="00B26DCB"/>
    <w:rsid w:val="00B276A7"/>
    <w:rsid w:val="00B36DFB"/>
    <w:rsid w:val="00B376EA"/>
    <w:rsid w:val="00B4012C"/>
    <w:rsid w:val="00B41791"/>
    <w:rsid w:val="00B418EB"/>
    <w:rsid w:val="00B434BA"/>
    <w:rsid w:val="00B511B8"/>
    <w:rsid w:val="00B51CE8"/>
    <w:rsid w:val="00B539B9"/>
    <w:rsid w:val="00B5629F"/>
    <w:rsid w:val="00B571A8"/>
    <w:rsid w:val="00B60875"/>
    <w:rsid w:val="00B6119B"/>
    <w:rsid w:val="00B62042"/>
    <w:rsid w:val="00B63637"/>
    <w:rsid w:val="00B66167"/>
    <w:rsid w:val="00B70D45"/>
    <w:rsid w:val="00B71BB8"/>
    <w:rsid w:val="00B73500"/>
    <w:rsid w:val="00B74DA0"/>
    <w:rsid w:val="00B75981"/>
    <w:rsid w:val="00B75A06"/>
    <w:rsid w:val="00B75BB5"/>
    <w:rsid w:val="00B77C8D"/>
    <w:rsid w:val="00B83293"/>
    <w:rsid w:val="00B8394B"/>
    <w:rsid w:val="00B84A76"/>
    <w:rsid w:val="00B84C6B"/>
    <w:rsid w:val="00B84CE2"/>
    <w:rsid w:val="00B85AAC"/>
    <w:rsid w:val="00B85FC5"/>
    <w:rsid w:val="00B875B8"/>
    <w:rsid w:val="00B90E8F"/>
    <w:rsid w:val="00B92074"/>
    <w:rsid w:val="00B92883"/>
    <w:rsid w:val="00B94ECF"/>
    <w:rsid w:val="00B956FA"/>
    <w:rsid w:val="00B9760F"/>
    <w:rsid w:val="00BA516B"/>
    <w:rsid w:val="00BA6D32"/>
    <w:rsid w:val="00BA7A44"/>
    <w:rsid w:val="00BB1020"/>
    <w:rsid w:val="00BB6586"/>
    <w:rsid w:val="00BB6A61"/>
    <w:rsid w:val="00BC15B2"/>
    <w:rsid w:val="00BC16BD"/>
    <w:rsid w:val="00BC199B"/>
    <w:rsid w:val="00BC3495"/>
    <w:rsid w:val="00BC52D8"/>
    <w:rsid w:val="00BC6EC9"/>
    <w:rsid w:val="00BD0409"/>
    <w:rsid w:val="00BD17BA"/>
    <w:rsid w:val="00BD4928"/>
    <w:rsid w:val="00BD7324"/>
    <w:rsid w:val="00BE1638"/>
    <w:rsid w:val="00BE2D3B"/>
    <w:rsid w:val="00BE2F4A"/>
    <w:rsid w:val="00BE3683"/>
    <w:rsid w:val="00BE3704"/>
    <w:rsid w:val="00BE5D42"/>
    <w:rsid w:val="00BE692A"/>
    <w:rsid w:val="00BE6C5D"/>
    <w:rsid w:val="00BF19C2"/>
    <w:rsid w:val="00BF245D"/>
    <w:rsid w:val="00BF57C1"/>
    <w:rsid w:val="00BF57F3"/>
    <w:rsid w:val="00BF7572"/>
    <w:rsid w:val="00BF7A73"/>
    <w:rsid w:val="00BF7A84"/>
    <w:rsid w:val="00C002CC"/>
    <w:rsid w:val="00C04760"/>
    <w:rsid w:val="00C05237"/>
    <w:rsid w:val="00C05AFD"/>
    <w:rsid w:val="00C07239"/>
    <w:rsid w:val="00C0738B"/>
    <w:rsid w:val="00C074A0"/>
    <w:rsid w:val="00C11820"/>
    <w:rsid w:val="00C118DE"/>
    <w:rsid w:val="00C12545"/>
    <w:rsid w:val="00C13E12"/>
    <w:rsid w:val="00C15852"/>
    <w:rsid w:val="00C15ED6"/>
    <w:rsid w:val="00C22257"/>
    <w:rsid w:val="00C22ABB"/>
    <w:rsid w:val="00C270A0"/>
    <w:rsid w:val="00C302BB"/>
    <w:rsid w:val="00C30ED1"/>
    <w:rsid w:val="00C3153E"/>
    <w:rsid w:val="00C330EB"/>
    <w:rsid w:val="00C35AE0"/>
    <w:rsid w:val="00C37AB2"/>
    <w:rsid w:val="00C37D28"/>
    <w:rsid w:val="00C403A3"/>
    <w:rsid w:val="00C40463"/>
    <w:rsid w:val="00C428C0"/>
    <w:rsid w:val="00C4402C"/>
    <w:rsid w:val="00C46B8F"/>
    <w:rsid w:val="00C51660"/>
    <w:rsid w:val="00C51701"/>
    <w:rsid w:val="00C51E2D"/>
    <w:rsid w:val="00C53E82"/>
    <w:rsid w:val="00C551F1"/>
    <w:rsid w:val="00C55A4F"/>
    <w:rsid w:val="00C56591"/>
    <w:rsid w:val="00C56BCD"/>
    <w:rsid w:val="00C56E7D"/>
    <w:rsid w:val="00C5725C"/>
    <w:rsid w:val="00C572FE"/>
    <w:rsid w:val="00C573BF"/>
    <w:rsid w:val="00C574F1"/>
    <w:rsid w:val="00C60755"/>
    <w:rsid w:val="00C61188"/>
    <w:rsid w:val="00C620DB"/>
    <w:rsid w:val="00C62BB9"/>
    <w:rsid w:val="00C635CF"/>
    <w:rsid w:val="00C63E64"/>
    <w:rsid w:val="00C6455E"/>
    <w:rsid w:val="00C709DC"/>
    <w:rsid w:val="00C74468"/>
    <w:rsid w:val="00C7480D"/>
    <w:rsid w:val="00C77707"/>
    <w:rsid w:val="00C8079E"/>
    <w:rsid w:val="00C80838"/>
    <w:rsid w:val="00C81124"/>
    <w:rsid w:val="00C818F1"/>
    <w:rsid w:val="00C82494"/>
    <w:rsid w:val="00C82D6E"/>
    <w:rsid w:val="00C83145"/>
    <w:rsid w:val="00C832A1"/>
    <w:rsid w:val="00C9032B"/>
    <w:rsid w:val="00C90984"/>
    <w:rsid w:val="00C92437"/>
    <w:rsid w:val="00C92EF3"/>
    <w:rsid w:val="00C9327E"/>
    <w:rsid w:val="00C93747"/>
    <w:rsid w:val="00C95DBC"/>
    <w:rsid w:val="00C96C28"/>
    <w:rsid w:val="00C975C9"/>
    <w:rsid w:val="00CA342A"/>
    <w:rsid w:val="00CA3AA3"/>
    <w:rsid w:val="00CA483B"/>
    <w:rsid w:val="00CA5172"/>
    <w:rsid w:val="00CA7587"/>
    <w:rsid w:val="00CA7DA3"/>
    <w:rsid w:val="00CB066D"/>
    <w:rsid w:val="00CB187A"/>
    <w:rsid w:val="00CB1F21"/>
    <w:rsid w:val="00CB2B03"/>
    <w:rsid w:val="00CB2DDF"/>
    <w:rsid w:val="00CC0150"/>
    <w:rsid w:val="00CC25EE"/>
    <w:rsid w:val="00CC3A60"/>
    <w:rsid w:val="00CC4182"/>
    <w:rsid w:val="00CC4852"/>
    <w:rsid w:val="00CC5FF8"/>
    <w:rsid w:val="00CC6802"/>
    <w:rsid w:val="00CC7613"/>
    <w:rsid w:val="00CD1629"/>
    <w:rsid w:val="00CD3022"/>
    <w:rsid w:val="00CD5091"/>
    <w:rsid w:val="00CE5C40"/>
    <w:rsid w:val="00CF1448"/>
    <w:rsid w:val="00CF15BA"/>
    <w:rsid w:val="00CF1B23"/>
    <w:rsid w:val="00CF35EA"/>
    <w:rsid w:val="00CF5465"/>
    <w:rsid w:val="00D04CC1"/>
    <w:rsid w:val="00D07BAB"/>
    <w:rsid w:val="00D10AF9"/>
    <w:rsid w:val="00D153A9"/>
    <w:rsid w:val="00D1599E"/>
    <w:rsid w:val="00D171C5"/>
    <w:rsid w:val="00D22B52"/>
    <w:rsid w:val="00D234C0"/>
    <w:rsid w:val="00D23A1C"/>
    <w:rsid w:val="00D275C5"/>
    <w:rsid w:val="00D306A7"/>
    <w:rsid w:val="00D30D13"/>
    <w:rsid w:val="00D31396"/>
    <w:rsid w:val="00D34F0A"/>
    <w:rsid w:val="00D3560F"/>
    <w:rsid w:val="00D3703D"/>
    <w:rsid w:val="00D37AA4"/>
    <w:rsid w:val="00D411CE"/>
    <w:rsid w:val="00D456F4"/>
    <w:rsid w:val="00D4583A"/>
    <w:rsid w:val="00D45D5B"/>
    <w:rsid w:val="00D51828"/>
    <w:rsid w:val="00D52F3E"/>
    <w:rsid w:val="00D552AD"/>
    <w:rsid w:val="00D555C0"/>
    <w:rsid w:val="00D57617"/>
    <w:rsid w:val="00D57EE4"/>
    <w:rsid w:val="00D60854"/>
    <w:rsid w:val="00D623A9"/>
    <w:rsid w:val="00D62473"/>
    <w:rsid w:val="00D62EBB"/>
    <w:rsid w:val="00D63838"/>
    <w:rsid w:val="00D653F0"/>
    <w:rsid w:val="00D66E3E"/>
    <w:rsid w:val="00D675DE"/>
    <w:rsid w:val="00D7268A"/>
    <w:rsid w:val="00D72DD5"/>
    <w:rsid w:val="00D74725"/>
    <w:rsid w:val="00D76CED"/>
    <w:rsid w:val="00D76E2E"/>
    <w:rsid w:val="00D76F65"/>
    <w:rsid w:val="00D80751"/>
    <w:rsid w:val="00D8170A"/>
    <w:rsid w:val="00D81772"/>
    <w:rsid w:val="00D830FC"/>
    <w:rsid w:val="00D83F0B"/>
    <w:rsid w:val="00D84595"/>
    <w:rsid w:val="00D84E57"/>
    <w:rsid w:val="00D854E3"/>
    <w:rsid w:val="00D901C2"/>
    <w:rsid w:val="00D902DC"/>
    <w:rsid w:val="00D9077C"/>
    <w:rsid w:val="00D907AD"/>
    <w:rsid w:val="00D914E9"/>
    <w:rsid w:val="00D9459A"/>
    <w:rsid w:val="00D969E2"/>
    <w:rsid w:val="00D96BA4"/>
    <w:rsid w:val="00D96EE2"/>
    <w:rsid w:val="00D97532"/>
    <w:rsid w:val="00DA2F5F"/>
    <w:rsid w:val="00DA51F3"/>
    <w:rsid w:val="00DB0658"/>
    <w:rsid w:val="00DB0FD7"/>
    <w:rsid w:val="00DB2B2E"/>
    <w:rsid w:val="00DB308F"/>
    <w:rsid w:val="00DB3779"/>
    <w:rsid w:val="00DC00E7"/>
    <w:rsid w:val="00DC1201"/>
    <w:rsid w:val="00DC13BC"/>
    <w:rsid w:val="00DC248C"/>
    <w:rsid w:val="00DC3E7C"/>
    <w:rsid w:val="00DC4E02"/>
    <w:rsid w:val="00DC5B39"/>
    <w:rsid w:val="00DC6562"/>
    <w:rsid w:val="00DC6574"/>
    <w:rsid w:val="00DD18E2"/>
    <w:rsid w:val="00DE1E9E"/>
    <w:rsid w:val="00DE1EA4"/>
    <w:rsid w:val="00DE3505"/>
    <w:rsid w:val="00DE3735"/>
    <w:rsid w:val="00DE4B60"/>
    <w:rsid w:val="00DE6ABE"/>
    <w:rsid w:val="00DF4BBD"/>
    <w:rsid w:val="00DF5443"/>
    <w:rsid w:val="00DF6DA5"/>
    <w:rsid w:val="00DF6F8D"/>
    <w:rsid w:val="00E00280"/>
    <w:rsid w:val="00E00A80"/>
    <w:rsid w:val="00E0388A"/>
    <w:rsid w:val="00E043CB"/>
    <w:rsid w:val="00E045A4"/>
    <w:rsid w:val="00E05253"/>
    <w:rsid w:val="00E062B1"/>
    <w:rsid w:val="00E10024"/>
    <w:rsid w:val="00E10330"/>
    <w:rsid w:val="00E11053"/>
    <w:rsid w:val="00E120B6"/>
    <w:rsid w:val="00E1635D"/>
    <w:rsid w:val="00E16681"/>
    <w:rsid w:val="00E20CD9"/>
    <w:rsid w:val="00E214A7"/>
    <w:rsid w:val="00E2332D"/>
    <w:rsid w:val="00E23517"/>
    <w:rsid w:val="00E24F5B"/>
    <w:rsid w:val="00E25242"/>
    <w:rsid w:val="00E312B0"/>
    <w:rsid w:val="00E31DE7"/>
    <w:rsid w:val="00E32B56"/>
    <w:rsid w:val="00E340FD"/>
    <w:rsid w:val="00E3498A"/>
    <w:rsid w:val="00E34DA3"/>
    <w:rsid w:val="00E372AC"/>
    <w:rsid w:val="00E37DD1"/>
    <w:rsid w:val="00E429D0"/>
    <w:rsid w:val="00E43534"/>
    <w:rsid w:val="00E441C6"/>
    <w:rsid w:val="00E4696C"/>
    <w:rsid w:val="00E4721D"/>
    <w:rsid w:val="00E50E6C"/>
    <w:rsid w:val="00E518BD"/>
    <w:rsid w:val="00E52196"/>
    <w:rsid w:val="00E53A95"/>
    <w:rsid w:val="00E56772"/>
    <w:rsid w:val="00E62060"/>
    <w:rsid w:val="00E67D20"/>
    <w:rsid w:val="00E70093"/>
    <w:rsid w:val="00E7043B"/>
    <w:rsid w:val="00E71BC3"/>
    <w:rsid w:val="00E728EC"/>
    <w:rsid w:val="00E73648"/>
    <w:rsid w:val="00E739B2"/>
    <w:rsid w:val="00E7484E"/>
    <w:rsid w:val="00E75A4B"/>
    <w:rsid w:val="00E75BF2"/>
    <w:rsid w:val="00E7678B"/>
    <w:rsid w:val="00E76BAD"/>
    <w:rsid w:val="00E7780F"/>
    <w:rsid w:val="00E779D5"/>
    <w:rsid w:val="00E80CB6"/>
    <w:rsid w:val="00E820F8"/>
    <w:rsid w:val="00E82874"/>
    <w:rsid w:val="00E83D41"/>
    <w:rsid w:val="00E84C67"/>
    <w:rsid w:val="00E85BE8"/>
    <w:rsid w:val="00E9032A"/>
    <w:rsid w:val="00E929B7"/>
    <w:rsid w:val="00E9319E"/>
    <w:rsid w:val="00E93934"/>
    <w:rsid w:val="00E94083"/>
    <w:rsid w:val="00E95549"/>
    <w:rsid w:val="00E96838"/>
    <w:rsid w:val="00E9792D"/>
    <w:rsid w:val="00E979B9"/>
    <w:rsid w:val="00E97FB7"/>
    <w:rsid w:val="00EA06E1"/>
    <w:rsid w:val="00EA1011"/>
    <w:rsid w:val="00EA1708"/>
    <w:rsid w:val="00EA21B1"/>
    <w:rsid w:val="00EA3A31"/>
    <w:rsid w:val="00EA4A11"/>
    <w:rsid w:val="00EA7C17"/>
    <w:rsid w:val="00EB0E01"/>
    <w:rsid w:val="00EB1146"/>
    <w:rsid w:val="00EB1F64"/>
    <w:rsid w:val="00EB42BC"/>
    <w:rsid w:val="00EC1BD8"/>
    <w:rsid w:val="00EC38FA"/>
    <w:rsid w:val="00EC3D6E"/>
    <w:rsid w:val="00EC64B1"/>
    <w:rsid w:val="00EC7288"/>
    <w:rsid w:val="00EC7719"/>
    <w:rsid w:val="00ED3080"/>
    <w:rsid w:val="00ED3DEB"/>
    <w:rsid w:val="00ED4513"/>
    <w:rsid w:val="00ED4712"/>
    <w:rsid w:val="00ED7EDE"/>
    <w:rsid w:val="00EE0CE7"/>
    <w:rsid w:val="00EE398B"/>
    <w:rsid w:val="00EE3D38"/>
    <w:rsid w:val="00EF09FA"/>
    <w:rsid w:val="00EF28F5"/>
    <w:rsid w:val="00EF4315"/>
    <w:rsid w:val="00EF6A7C"/>
    <w:rsid w:val="00EF7B8F"/>
    <w:rsid w:val="00F017CC"/>
    <w:rsid w:val="00F01AB7"/>
    <w:rsid w:val="00F044F0"/>
    <w:rsid w:val="00F063A2"/>
    <w:rsid w:val="00F10716"/>
    <w:rsid w:val="00F10770"/>
    <w:rsid w:val="00F115CB"/>
    <w:rsid w:val="00F1169E"/>
    <w:rsid w:val="00F1191B"/>
    <w:rsid w:val="00F1384C"/>
    <w:rsid w:val="00F14DDF"/>
    <w:rsid w:val="00F15736"/>
    <w:rsid w:val="00F16A65"/>
    <w:rsid w:val="00F20CF1"/>
    <w:rsid w:val="00F21F76"/>
    <w:rsid w:val="00F22A7F"/>
    <w:rsid w:val="00F244CB"/>
    <w:rsid w:val="00F333CB"/>
    <w:rsid w:val="00F34304"/>
    <w:rsid w:val="00F35BD6"/>
    <w:rsid w:val="00F36B73"/>
    <w:rsid w:val="00F41FEC"/>
    <w:rsid w:val="00F42BA9"/>
    <w:rsid w:val="00F436DE"/>
    <w:rsid w:val="00F43AA9"/>
    <w:rsid w:val="00F45038"/>
    <w:rsid w:val="00F51D4D"/>
    <w:rsid w:val="00F52711"/>
    <w:rsid w:val="00F53B0D"/>
    <w:rsid w:val="00F54525"/>
    <w:rsid w:val="00F54DED"/>
    <w:rsid w:val="00F555FF"/>
    <w:rsid w:val="00F55F0F"/>
    <w:rsid w:val="00F56070"/>
    <w:rsid w:val="00F56643"/>
    <w:rsid w:val="00F60F59"/>
    <w:rsid w:val="00F611A9"/>
    <w:rsid w:val="00F63640"/>
    <w:rsid w:val="00F6387B"/>
    <w:rsid w:val="00F63B39"/>
    <w:rsid w:val="00F702AC"/>
    <w:rsid w:val="00F70EA4"/>
    <w:rsid w:val="00F711E2"/>
    <w:rsid w:val="00F7719B"/>
    <w:rsid w:val="00F776F6"/>
    <w:rsid w:val="00F806DD"/>
    <w:rsid w:val="00F83F23"/>
    <w:rsid w:val="00F83FE3"/>
    <w:rsid w:val="00F90D5D"/>
    <w:rsid w:val="00F91B7F"/>
    <w:rsid w:val="00F91DCB"/>
    <w:rsid w:val="00F926C3"/>
    <w:rsid w:val="00F939A3"/>
    <w:rsid w:val="00F94A2A"/>
    <w:rsid w:val="00F96697"/>
    <w:rsid w:val="00FA1A8F"/>
    <w:rsid w:val="00FA20E4"/>
    <w:rsid w:val="00FA7584"/>
    <w:rsid w:val="00FB1283"/>
    <w:rsid w:val="00FB6474"/>
    <w:rsid w:val="00FB6485"/>
    <w:rsid w:val="00FB695D"/>
    <w:rsid w:val="00FC0C60"/>
    <w:rsid w:val="00FC1769"/>
    <w:rsid w:val="00FC1A51"/>
    <w:rsid w:val="00FC23EF"/>
    <w:rsid w:val="00FC33CF"/>
    <w:rsid w:val="00FC43E6"/>
    <w:rsid w:val="00FC4D46"/>
    <w:rsid w:val="00FC4F5B"/>
    <w:rsid w:val="00FC5E8A"/>
    <w:rsid w:val="00FC625F"/>
    <w:rsid w:val="00FC6586"/>
    <w:rsid w:val="00FC68E5"/>
    <w:rsid w:val="00FC6D64"/>
    <w:rsid w:val="00FD1701"/>
    <w:rsid w:val="00FD21F1"/>
    <w:rsid w:val="00FD2A6A"/>
    <w:rsid w:val="00FD4F05"/>
    <w:rsid w:val="00FE005A"/>
    <w:rsid w:val="00FE0351"/>
    <w:rsid w:val="00FE14BA"/>
    <w:rsid w:val="00FE209D"/>
    <w:rsid w:val="00FE2239"/>
    <w:rsid w:val="00FE2527"/>
    <w:rsid w:val="00FE31B1"/>
    <w:rsid w:val="00FE4B5E"/>
    <w:rsid w:val="00FE50AA"/>
    <w:rsid w:val="00FE5BDE"/>
    <w:rsid w:val="00FE5E72"/>
    <w:rsid w:val="00FE72D4"/>
    <w:rsid w:val="00FF0737"/>
    <w:rsid w:val="00FF13DD"/>
    <w:rsid w:val="00FF2A3D"/>
    <w:rsid w:val="00FF2EB0"/>
    <w:rsid w:val="00FF2F65"/>
    <w:rsid w:val="00FF3EC0"/>
    <w:rsid w:val="00FF3ED6"/>
    <w:rsid w:val="00FF4741"/>
    <w:rsid w:val="00FF4924"/>
    <w:rsid w:val="00FF4ACF"/>
    <w:rsid w:val="00FF6850"/>
    <w:rsid w:val="00FF72A2"/>
    <w:rsid w:val="01042CD0"/>
    <w:rsid w:val="0116145D"/>
    <w:rsid w:val="030559FB"/>
    <w:rsid w:val="033E19CC"/>
    <w:rsid w:val="045521C0"/>
    <w:rsid w:val="04A46CA4"/>
    <w:rsid w:val="04B8484E"/>
    <w:rsid w:val="04CE6F6B"/>
    <w:rsid w:val="05810D93"/>
    <w:rsid w:val="05BB42A5"/>
    <w:rsid w:val="05C76758"/>
    <w:rsid w:val="05E11832"/>
    <w:rsid w:val="06CC034A"/>
    <w:rsid w:val="06CD61FF"/>
    <w:rsid w:val="06F21F49"/>
    <w:rsid w:val="072F16F1"/>
    <w:rsid w:val="07B75DDB"/>
    <w:rsid w:val="07E52C18"/>
    <w:rsid w:val="07ED4297"/>
    <w:rsid w:val="07F41CF0"/>
    <w:rsid w:val="085B3B1D"/>
    <w:rsid w:val="08E25FED"/>
    <w:rsid w:val="09412D13"/>
    <w:rsid w:val="098552F6"/>
    <w:rsid w:val="0AA479FE"/>
    <w:rsid w:val="0AC6479F"/>
    <w:rsid w:val="0B941820"/>
    <w:rsid w:val="0BD074EE"/>
    <w:rsid w:val="0C3C3C66"/>
    <w:rsid w:val="0C886EAB"/>
    <w:rsid w:val="0CBE1FA6"/>
    <w:rsid w:val="0D5D20E6"/>
    <w:rsid w:val="0E835B7C"/>
    <w:rsid w:val="0EA87391"/>
    <w:rsid w:val="0EDD34DE"/>
    <w:rsid w:val="0F2C69E9"/>
    <w:rsid w:val="0F3764A8"/>
    <w:rsid w:val="0F8676D2"/>
    <w:rsid w:val="0FB50301"/>
    <w:rsid w:val="0FDD306A"/>
    <w:rsid w:val="102A361F"/>
    <w:rsid w:val="106F59A8"/>
    <w:rsid w:val="10852182"/>
    <w:rsid w:val="110A4333"/>
    <w:rsid w:val="114E699F"/>
    <w:rsid w:val="115C7BD3"/>
    <w:rsid w:val="11D54941"/>
    <w:rsid w:val="123E5D31"/>
    <w:rsid w:val="12FC6341"/>
    <w:rsid w:val="13217712"/>
    <w:rsid w:val="13766270"/>
    <w:rsid w:val="150F1F18"/>
    <w:rsid w:val="15393438"/>
    <w:rsid w:val="15C745A0"/>
    <w:rsid w:val="15DA0777"/>
    <w:rsid w:val="15FA09D9"/>
    <w:rsid w:val="16AB3EC2"/>
    <w:rsid w:val="16D276A1"/>
    <w:rsid w:val="17584D1E"/>
    <w:rsid w:val="175B7696"/>
    <w:rsid w:val="18461DBF"/>
    <w:rsid w:val="18CE0348"/>
    <w:rsid w:val="199450E1"/>
    <w:rsid w:val="1B3C7403"/>
    <w:rsid w:val="1B3F2E2B"/>
    <w:rsid w:val="1B7C7BDB"/>
    <w:rsid w:val="1B916328"/>
    <w:rsid w:val="1C316C17"/>
    <w:rsid w:val="1C765A48"/>
    <w:rsid w:val="1D4F4622"/>
    <w:rsid w:val="1D9574F0"/>
    <w:rsid w:val="1E3F38C5"/>
    <w:rsid w:val="1EAF2598"/>
    <w:rsid w:val="1F5844BB"/>
    <w:rsid w:val="23BE225F"/>
    <w:rsid w:val="255B2953"/>
    <w:rsid w:val="25E3472B"/>
    <w:rsid w:val="25FB73E8"/>
    <w:rsid w:val="26865DB2"/>
    <w:rsid w:val="26977FBF"/>
    <w:rsid w:val="27897D39"/>
    <w:rsid w:val="27EC3882"/>
    <w:rsid w:val="281D44F4"/>
    <w:rsid w:val="28C130D1"/>
    <w:rsid w:val="28CC25C5"/>
    <w:rsid w:val="296028EA"/>
    <w:rsid w:val="2A2B114A"/>
    <w:rsid w:val="2A726D79"/>
    <w:rsid w:val="2B8110C2"/>
    <w:rsid w:val="2C0830C9"/>
    <w:rsid w:val="2C9C24CE"/>
    <w:rsid w:val="2D012636"/>
    <w:rsid w:val="2D8748E9"/>
    <w:rsid w:val="2D944D70"/>
    <w:rsid w:val="2EE44891"/>
    <w:rsid w:val="2F544C9F"/>
    <w:rsid w:val="2FB13E9F"/>
    <w:rsid w:val="30907F59"/>
    <w:rsid w:val="3098505F"/>
    <w:rsid w:val="32964E8E"/>
    <w:rsid w:val="331C0DCC"/>
    <w:rsid w:val="332A10D1"/>
    <w:rsid w:val="33BA709B"/>
    <w:rsid w:val="349124F1"/>
    <w:rsid w:val="349F3EF8"/>
    <w:rsid w:val="35262CF6"/>
    <w:rsid w:val="353115DE"/>
    <w:rsid w:val="357024F4"/>
    <w:rsid w:val="36775DAC"/>
    <w:rsid w:val="36CC6595"/>
    <w:rsid w:val="38342DA4"/>
    <w:rsid w:val="38967039"/>
    <w:rsid w:val="39072D82"/>
    <w:rsid w:val="3A144B1E"/>
    <w:rsid w:val="3AB919DF"/>
    <w:rsid w:val="3B2B59A2"/>
    <w:rsid w:val="3B4F266B"/>
    <w:rsid w:val="3C763432"/>
    <w:rsid w:val="3D673DEF"/>
    <w:rsid w:val="3D9F1E9C"/>
    <w:rsid w:val="3E8F505B"/>
    <w:rsid w:val="3ED979E1"/>
    <w:rsid w:val="3F454604"/>
    <w:rsid w:val="3FC2643D"/>
    <w:rsid w:val="3FF57DD8"/>
    <w:rsid w:val="406A260A"/>
    <w:rsid w:val="410A1661"/>
    <w:rsid w:val="4162149D"/>
    <w:rsid w:val="425B33EE"/>
    <w:rsid w:val="43C401ED"/>
    <w:rsid w:val="445D7CFA"/>
    <w:rsid w:val="45462BBB"/>
    <w:rsid w:val="458E0B37"/>
    <w:rsid w:val="45992FB4"/>
    <w:rsid w:val="467B6B5D"/>
    <w:rsid w:val="46CC1167"/>
    <w:rsid w:val="46D5626E"/>
    <w:rsid w:val="48FC6FA0"/>
    <w:rsid w:val="491A0F63"/>
    <w:rsid w:val="49997A26"/>
    <w:rsid w:val="49F7306A"/>
    <w:rsid w:val="4A25750C"/>
    <w:rsid w:val="4B1B446B"/>
    <w:rsid w:val="4B606580"/>
    <w:rsid w:val="4C113007"/>
    <w:rsid w:val="4CEC11CD"/>
    <w:rsid w:val="4DC24792"/>
    <w:rsid w:val="4DD21A37"/>
    <w:rsid w:val="4F0F42E7"/>
    <w:rsid w:val="4F9547EC"/>
    <w:rsid w:val="50614A4E"/>
    <w:rsid w:val="507765E7"/>
    <w:rsid w:val="50E0418D"/>
    <w:rsid w:val="51BA4335"/>
    <w:rsid w:val="51C51CD2"/>
    <w:rsid w:val="51F06651"/>
    <w:rsid w:val="526F57C8"/>
    <w:rsid w:val="5294522F"/>
    <w:rsid w:val="52C11D9C"/>
    <w:rsid w:val="52EE3CFF"/>
    <w:rsid w:val="535250F3"/>
    <w:rsid w:val="542F451B"/>
    <w:rsid w:val="5478227F"/>
    <w:rsid w:val="558B1656"/>
    <w:rsid w:val="564545FF"/>
    <w:rsid w:val="56644F18"/>
    <w:rsid w:val="56C80241"/>
    <w:rsid w:val="57392849"/>
    <w:rsid w:val="579637F7"/>
    <w:rsid w:val="57FB7AFE"/>
    <w:rsid w:val="58E81E30"/>
    <w:rsid w:val="5B114842"/>
    <w:rsid w:val="5B3203CA"/>
    <w:rsid w:val="5B850362"/>
    <w:rsid w:val="5C216901"/>
    <w:rsid w:val="5C8C6F77"/>
    <w:rsid w:val="5D210677"/>
    <w:rsid w:val="5DE828D3"/>
    <w:rsid w:val="5EFA466C"/>
    <w:rsid w:val="5FCD1D80"/>
    <w:rsid w:val="606C3A49"/>
    <w:rsid w:val="618131B6"/>
    <w:rsid w:val="61CB0541"/>
    <w:rsid w:val="621F43E9"/>
    <w:rsid w:val="624B55B6"/>
    <w:rsid w:val="62540CD6"/>
    <w:rsid w:val="62624116"/>
    <w:rsid w:val="63293A4C"/>
    <w:rsid w:val="632B74E9"/>
    <w:rsid w:val="6350522B"/>
    <w:rsid w:val="64FE29DC"/>
    <w:rsid w:val="651E6BDA"/>
    <w:rsid w:val="67851192"/>
    <w:rsid w:val="69656302"/>
    <w:rsid w:val="6A462E5B"/>
    <w:rsid w:val="6A942CE9"/>
    <w:rsid w:val="6C360CAD"/>
    <w:rsid w:val="6C537AB1"/>
    <w:rsid w:val="6C737CFB"/>
    <w:rsid w:val="6CAB3449"/>
    <w:rsid w:val="6D3635CD"/>
    <w:rsid w:val="6D4D4500"/>
    <w:rsid w:val="6E3F02ED"/>
    <w:rsid w:val="6E63694D"/>
    <w:rsid w:val="6EA12D56"/>
    <w:rsid w:val="6EA840E4"/>
    <w:rsid w:val="71630796"/>
    <w:rsid w:val="72281098"/>
    <w:rsid w:val="72744F58"/>
    <w:rsid w:val="72C50FCD"/>
    <w:rsid w:val="73A56E44"/>
    <w:rsid w:val="73CB7009"/>
    <w:rsid w:val="743B1556"/>
    <w:rsid w:val="753D12FE"/>
    <w:rsid w:val="76180C4D"/>
    <w:rsid w:val="76F40C1A"/>
    <w:rsid w:val="77AD4AC1"/>
    <w:rsid w:val="77E91E7C"/>
    <w:rsid w:val="787E258C"/>
    <w:rsid w:val="78B158B9"/>
    <w:rsid w:val="7945468F"/>
    <w:rsid w:val="7988172C"/>
    <w:rsid w:val="79B55907"/>
    <w:rsid w:val="7A554B57"/>
    <w:rsid w:val="7AC1208A"/>
    <w:rsid w:val="7B226FCC"/>
    <w:rsid w:val="7BB87518"/>
    <w:rsid w:val="7C045387"/>
    <w:rsid w:val="7C174657"/>
    <w:rsid w:val="7D4F7E21"/>
    <w:rsid w:val="7DFFD2F8"/>
    <w:rsid w:val="7EF40C80"/>
    <w:rsid w:val="7F0C03DF"/>
    <w:rsid w:val="7F6000C3"/>
    <w:rsid w:val="7FF32CD8"/>
    <w:rsid w:val="EFAEDE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qFormat="1" w:unhideWhenUsed="0" w:uiPriority="99" w:semiHidden="0" w:name="footnote text"/>
    <w:lsdException w:qFormat="1"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qFormat/>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link w:val="41"/>
    <w:qFormat/>
    <w:uiPriority w:val="0"/>
    <w:pPr>
      <w:keepNext/>
      <w:keepLines/>
      <w:spacing w:before="260" w:after="260" w:line="415" w:lineRule="auto"/>
      <w:outlineLvl w:val="2"/>
    </w:pPr>
    <w:rPr>
      <w:rFonts w:ascii="Calibri" w:hAnsi="Calibri" w:cs="Arial"/>
      <w:b/>
      <w:bCs/>
      <w:sz w:val="32"/>
      <w:szCs w:val="32"/>
    </w:rPr>
  </w:style>
  <w:style w:type="paragraph" w:styleId="5">
    <w:name w:val="heading 4"/>
    <w:basedOn w:val="1"/>
    <w:next w:val="1"/>
    <w:qFormat/>
    <w:uiPriority w:val="0"/>
    <w:pPr>
      <w:keepNext/>
      <w:keepLines/>
      <w:spacing w:before="280" w:after="290" w:line="377" w:lineRule="auto"/>
      <w:outlineLvl w:val="3"/>
    </w:pPr>
    <w:rPr>
      <w:rFonts w:ascii="Cambria" w:hAnsi="Cambria"/>
      <w:b/>
      <w:bCs/>
      <w:sz w:val="28"/>
      <w:szCs w:val="28"/>
    </w:rPr>
  </w:style>
  <w:style w:type="paragraph" w:styleId="6">
    <w:name w:val="heading 5"/>
    <w:basedOn w:val="1"/>
    <w:next w:val="1"/>
    <w:link w:val="42"/>
    <w:qFormat/>
    <w:uiPriority w:val="0"/>
    <w:pPr>
      <w:keepNext/>
      <w:keepLines/>
      <w:spacing w:before="100" w:beforeAutospacing="1" w:after="100" w:afterAutospacing="1" w:line="360" w:lineRule="auto"/>
      <w:ind w:firstLine="200" w:firstLineChars="200"/>
      <w:outlineLvl w:val="4"/>
    </w:pPr>
    <w:rPr>
      <w:b/>
      <w:bCs/>
      <w:sz w:val="24"/>
      <w:szCs w:val="28"/>
    </w:rPr>
  </w:style>
  <w:style w:type="paragraph" w:styleId="7">
    <w:name w:val="heading 6"/>
    <w:basedOn w:val="1"/>
    <w:next w:val="8"/>
    <w:link w:val="43"/>
    <w:qFormat/>
    <w:uiPriority w:val="0"/>
    <w:pPr>
      <w:autoSpaceDE w:val="0"/>
      <w:autoSpaceDN w:val="0"/>
      <w:adjustRightInd w:val="0"/>
      <w:spacing w:before="200" w:after="200" w:line="400" w:lineRule="atLeast"/>
      <w:textAlignment w:val="baseline"/>
      <w:outlineLvl w:val="5"/>
    </w:pPr>
    <w:rPr>
      <w:rFonts w:ascii="黑体" w:hAnsi="Arial" w:eastAsia="黑体"/>
      <w:kern w:val="0"/>
      <w:sz w:val="28"/>
    </w:rPr>
  </w:style>
  <w:style w:type="paragraph" w:styleId="9">
    <w:name w:val="heading 7"/>
    <w:basedOn w:val="1"/>
    <w:next w:val="8"/>
    <w:link w:val="44"/>
    <w:qFormat/>
    <w:uiPriority w:val="0"/>
    <w:pPr>
      <w:autoSpaceDE w:val="0"/>
      <w:autoSpaceDN w:val="0"/>
      <w:adjustRightInd w:val="0"/>
      <w:spacing w:before="200" w:after="200" w:line="400" w:lineRule="atLeast"/>
      <w:textAlignment w:val="baseline"/>
      <w:outlineLvl w:val="6"/>
    </w:pPr>
    <w:rPr>
      <w:kern w:val="0"/>
      <w:sz w:val="28"/>
    </w:rPr>
  </w:style>
  <w:style w:type="paragraph" w:styleId="10">
    <w:name w:val="heading 8"/>
    <w:basedOn w:val="1"/>
    <w:next w:val="8"/>
    <w:link w:val="45"/>
    <w:qFormat/>
    <w:uiPriority w:val="0"/>
    <w:pPr>
      <w:autoSpaceDE w:val="0"/>
      <w:autoSpaceDN w:val="0"/>
      <w:adjustRightInd w:val="0"/>
      <w:spacing w:before="200" w:after="200" w:line="400" w:lineRule="atLeast"/>
      <w:jc w:val="center"/>
      <w:textAlignment w:val="baseline"/>
      <w:outlineLvl w:val="7"/>
    </w:pPr>
    <w:rPr>
      <w:rFonts w:ascii="黑体" w:hAnsi="Arial" w:eastAsia="黑体"/>
      <w:kern w:val="0"/>
      <w:sz w:val="36"/>
    </w:rPr>
  </w:style>
  <w:style w:type="paragraph" w:styleId="11">
    <w:name w:val="heading 9"/>
    <w:basedOn w:val="1"/>
    <w:next w:val="8"/>
    <w:link w:val="46"/>
    <w:qFormat/>
    <w:uiPriority w:val="0"/>
    <w:pPr>
      <w:autoSpaceDE w:val="0"/>
      <w:autoSpaceDN w:val="0"/>
      <w:adjustRightInd w:val="0"/>
      <w:spacing w:before="200" w:after="200" w:line="400" w:lineRule="atLeast"/>
      <w:textAlignment w:val="baseline"/>
      <w:outlineLvl w:val="8"/>
    </w:pPr>
    <w:rPr>
      <w:rFonts w:ascii="黑体" w:hAnsi="Arial" w:eastAsia="黑体"/>
      <w:kern w:val="0"/>
      <w:sz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8">
    <w:name w:val="Normal Indent"/>
    <w:basedOn w:val="1"/>
    <w:unhideWhenUsed/>
    <w:qFormat/>
    <w:uiPriority w:val="0"/>
    <w:pPr>
      <w:ind w:firstLine="420" w:firstLineChars="200"/>
    </w:pPr>
    <w:rPr>
      <w:rFonts w:asciiTheme="minorHAnsi" w:hAnsiTheme="minorHAnsi" w:eastAsiaTheme="minorEastAsia" w:cstheme="minorBidi"/>
      <w:szCs w:val="24"/>
    </w:rPr>
  </w:style>
  <w:style w:type="paragraph" w:styleId="12">
    <w:name w:val="Document Map"/>
    <w:basedOn w:val="1"/>
    <w:qFormat/>
    <w:uiPriority w:val="0"/>
    <w:rPr>
      <w:rFonts w:ascii="宋体"/>
      <w:sz w:val="18"/>
      <w:szCs w:val="18"/>
    </w:rPr>
  </w:style>
  <w:style w:type="paragraph" w:styleId="13">
    <w:name w:val="annotation text"/>
    <w:basedOn w:val="1"/>
    <w:link w:val="98"/>
    <w:semiHidden/>
    <w:unhideWhenUsed/>
    <w:qFormat/>
    <w:uiPriority w:val="0"/>
    <w:pPr>
      <w:jc w:val="left"/>
    </w:pPr>
  </w:style>
  <w:style w:type="paragraph" w:styleId="14">
    <w:name w:val="Body Text"/>
    <w:basedOn w:val="1"/>
    <w:next w:val="1"/>
    <w:qFormat/>
    <w:uiPriority w:val="0"/>
    <w:rPr>
      <w:rFonts w:eastAsia="文星仿宋"/>
      <w:sz w:val="32"/>
      <w:szCs w:val="24"/>
    </w:rPr>
  </w:style>
  <w:style w:type="paragraph" w:styleId="15">
    <w:name w:val="Body Text Indent"/>
    <w:basedOn w:val="1"/>
    <w:link w:val="73"/>
    <w:qFormat/>
    <w:uiPriority w:val="0"/>
    <w:pPr>
      <w:spacing w:line="640" w:lineRule="exact"/>
      <w:ind w:firstLine="601"/>
      <w:jc w:val="left"/>
    </w:pPr>
    <w:rPr>
      <w:rFonts w:eastAsia="仿宋_GB2312"/>
      <w:sz w:val="32"/>
      <w:szCs w:val="24"/>
    </w:rPr>
  </w:style>
  <w:style w:type="paragraph" w:styleId="16">
    <w:name w:val="toc 3"/>
    <w:basedOn w:val="1"/>
    <w:next w:val="1"/>
    <w:qFormat/>
    <w:uiPriority w:val="39"/>
    <w:pPr>
      <w:ind w:left="400" w:leftChars="400"/>
    </w:pPr>
    <w:rPr>
      <w:rFonts w:ascii="Calibri" w:hAnsi="Calibri" w:cs="Arial"/>
      <w:szCs w:val="22"/>
    </w:rPr>
  </w:style>
  <w:style w:type="paragraph" w:styleId="17">
    <w:name w:val="Plain Text"/>
    <w:basedOn w:val="1"/>
    <w:qFormat/>
    <w:uiPriority w:val="0"/>
    <w:rPr>
      <w:rFonts w:ascii="Calibri" w:hAnsi="Calibri" w:eastAsia="方正仿宋简体" w:cs="Arial"/>
      <w:sz w:val="28"/>
      <w:szCs w:val="24"/>
    </w:rPr>
  </w:style>
  <w:style w:type="paragraph" w:styleId="18">
    <w:name w:val="Date"/>
    <w:basedOn w:val="1"/>
    <w:next w:val="1"/>
    <w:link w:val="47"/>
    <w:qFormat/>
    <w:uiPriority w:val="0"/>
    <w:pPr>
      <w:ind w:left="2500" w:leftChars="2500"/>
    </w:pPr>
    <w:rPr>
      <w:rFonts w:ascii="Calibri" w:hAnsi="Calibri" w:cs="Arial"/>
      <w:szCs w:val="22"/>
    </w:rPr>
  </w:style>
  <w:style w:type="paragraph" w:styleId="19">
    <w:name w:val="Body Text Indent 2"/>
    <w:basedOn w:val="1"/>
    <w:link w:val="74"/>
    <w:qFormat/>
    <w:uiPriority w:val="0"/>
    <w:pPr>
      <w:spacing w:line="360" w:lineRule="auto"/>
      <w:ind w:firstLine="497" w:firstLineChars="207"/>
    </w:pPr>
    <w:rPr>
      <w:color w:val="FF0000"/>
      <w:sz w:val="24"/>
      <w:szCs w:val="24"/>
    </w:rPr>
  </w:style>
  <w:style w:type="paragraph" w:styleId="20">
    <w:name w:val="Balloon Text"/>
    <w:basedOn w:val="1"/>
    <w:link w:val="48"/>
    <w:qFormat/>
    <w:uiPriority w:val="0"/>
    <w:rPr>
      <w:sz w:val="18"/>
      <w:szCs w:val="18"/>
    </w:rPr>
  </w:style>
  <w:style w:type="paragraph" w:styleId="21">
    <w:name w:val="footer"/>
    <w:basedOn w:val="1"/>
    <w:link w:val="49"/>
    <w:qFormat/>
    <w:uiPriority w:val="0"/>
    <w:pPr>
      <w:tabs>
        <w:tab w:val="center" w:pos="4153"/>
        <w:tab w:val="right" w:pos="8306"/>
      </w:tabs>
      <w:snapToGrid w:val="0"/>
      <w:jc w:val="left"/>
    </w:pPr>
    <w:rPr>
      <w:sz w:val="18"/>
      <w:szCs w:val="18"/>
    </w:rPr>
  </w:style>
  <w:style w:type="paragraph" w:styleId="22">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tabs>
        <w:tab w:val="right" w:leader="dot" w:pos="8296"/>
      </w:tabs>
      <w:spacing w:line="360" w:lineRule="auto"/>
    </w:pPr>
  </w:style>
  <w:style w:type="paragraph" w:styleId="24">
    <w:name w:val="footnote text"/>
    <w:basedOn w:val="1"/>
    <w:link w:val="51"/>
    <w:qFormat/>
    <w:uiPriority w:val="99"/>
    <w:pPr>
      <w:snapToGrid w:val="0"/>
      <w:jc w:val="left"/>
    </w:pPr>
    <w:rPr>
      <w:sz w:val="18"/>
      <w:szCs w:val="18"/>
    </w:rPr>
  </w:style>
  <w:style w:type="paragraph" w:styleId="25">
    <w:name w:val="Body Text Indent 3"/>
    <w:basedOn w:val="1"/>
    <w:link w:val="94"/>
    <w:qFormat/>
    <w:uiPriority w:val="0"/>
    <w:pPr>
      <w:spacing w:after="120" w:line="360" w:lineRule="auto"/>
      <w:ind w:left="420" w:leftChars="200" w:firstLine="200" w:firstLineChars="200"/>
    </w:pPr>
    <w:rPr>
      <w:sz w:val="16"/>
      <w:szCs w:val="16"/>
    </w:rPr>
  </w:style>
  <w:style w:type="paragraph" w:styleId="26">
    <w:name w:val="toc 2"/>
    <w:basedOn w:val="1"/>
    <w:next w:val="1"/>
    <w:qFormat/>
    <w:uiPriority w:val="39"/>
    <w:pPr>
      <w:ind w:left="200" w:leftChars="200"/>
    </w:pPr>
    <w:rPr>
      <w:rFonts w:ascii="Calibri" w:hAnsi="Calibri" w:cs="Arial"/>
      <w:szCs w:val="22"/>
    </w:rPr>
  </w:style>
  <w:style w:type="paragraph" w:styleId="27">
    <w:name w:val="Body Text 2"/>
    <w:basedOn w:val="1"/>
    <w:link w:val="69"/>
    <w:qFormat/>
    <w:uiPriority w:val="0"/>
    <w:pPr>
      <w:spacing w:line="360" w:lineRule="auto"/>
      <w:ind w:left="-100" w:leftChars="-100" w:right="-100" w:rightChars="-100"/>
      <w:jc w:val="center"/>
    </w:pPr>
    <w:rPr>
      <w:szCs w:val="24"/>
    </w:rPr>
  </w:style>
  <w:style w:type="paragraph" w:styleId="28">
    <w:name w:val="HTML Preformatted"/>
    <w:basedOn w:val="1"/>
    <w:link w:val="7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kern w:val="0"/>
      <w:sz w:val="20"/>
    </w:rPr>
  </w:style>
  <w:style w:type="paragraph" w:styleId="29">
    <w:name w:val="Normal (Web)"/>
    <w:basedOn w:val="1"/>
    <w:qFormat/>
    <w:uiPriority w:val="0"/>
    <w:pPr>
      <w:widowControl/>
      <w:spacing w:before="100" w:beforeAutospacing="1" w:after="100" w:afterAutospacing="1"/>
      <w:jc w:val="left"/>
    </w:pPr>
    <w:rPr>
      <w:rFonts w:ascii="宋体" w:cs="宋体"/>
      <w:kern w:val="0"/>
      <w:sz w:val="24"/>
      <w:szCs w:val="24"/>
    </w:rPr>
  </w:style>
  <w:style w:type="paragraph" w:styleId="30">
    <w:name w:val="Title"/>
    <w:basedOn w:val="1"/>
    <w:next w:val="1"/>
    <w:qFormat/>
    <w:uiPriority w:val="0"/>
    <w:pPr>
      <w:spacing w:before="240" w:after="60"/>
      <w:jc w:val="center"/>
      <w:outlineLvl w:val="0"/>
    </w:pPr>
    <w:rPr>
      <w:rFonts w:ascii="Cambria" w:hAnsi="Cambria"/>
      <w:b/>
      <w:bCs/>
      <w:sz w:val="32"/>
      <w:szCs w:val="32"/>
    </w:rPr>
  </w:style>
  <w:style w:type="table" w:styleId="32">
    <w:name w:val="Table Grid"/>
    <w:basedOn w:val="31"/>
    <w:qFormat/>
    <w:uiPriority w:val="0"/>
    <w:rPr>
      <w:rFonts w:ascii="Calibri" w:hAnsi="Calibri"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qFormat/>
    <w:uiPriority w:val="0"/>
    <w:rPr>
      <w:b/>
      <w:bCs/>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Hyperlink"/>
    <w:basedOn w:val="33"/>
    <w:qFormat/>
    <w:uiPriority w:val="99"/>
    <w:rPr>
      <w:color w:val="0000FF"/>
      <w:u w:val="single"/>
    </w:rPr>
  </w:style>
  <w:style w:type="character" w:styleId="38">
    <w:name w:val="annotation reference"/>
    <w:basedOn w:val="33"/>
    <w:unhideWhenUsed/>
    <w:qFormat/>
    <w:uiPriority w:val="0"/>
    <w:rPr>
      <w:sz w:val="21"/>
      <w:szCs w:val="21"/>
    </w:rPr>
  </w:style>
  <w:style w:type="character" w:styleId="39">
    <w:name w:val="footnote reference"/>
    <w:basedOn w:val="33"/>
    <w:qFormat/>
    <w:uiPriority w:val="99"/>
    <w:rPr>
      <w:vertAlign w:val="superscript"/>
    </w:rPr>
  </w:style>
  <w:style w:type="character" w:customStyle="1" w:styleId="40">
    <w:name w:val="标题 2 Char"/>
    <w:basedOn w:val="33"/>
    <w:link w:val="3"/>
    <w:qFormat/>
    <w:uiPriority w:val="9"/>
    <w:rPr>
      <w:rFonts w:ascii="Cambria" w:hAnsi="Cambria"/>
      <w:b/>
      <w:bCs/>
      <w:kern w:val="2"/>
      <w:sz w:val="32"/>
      <w:szCs w:val="32"/>
    </w:rPr>
  </w:style>
  <w:style w:type="character" w:customStyle="1" w:styleId="41">
    <w:name w:val="标题 3 Char1"/>
    <w:basedOn w:val="33"/>
    <w:link w:val="4"/>
    <w:qFormat/>
    <w:uiPriority w:val="0"/>
    <w:rPr>
      <w:rFonts w:ascii="Calibri" w:hAnsi="Calibri" w:cs="Arial"/>
      <w:b/>
      <w:bCs/>
      <w:kern w:val="2"/>
      <w:sz w:val="32"/>
      <w:szCs w:val="32"/>
    </w:rPr>
  </w:style>
  <w:style w:type="character" w:customStyle="1" w:styleId="42">
    <w:name w:val="标题 5 Char"/>
    <w:basedOn w:val="33"/>
    <w:link w:val="6"/>
    <w:qFormat/>
    <w:uiPriority w:val="0"/>
    <w:rPr>
      <w:b/>
      <w:bCs/>
      <w:kern w:val="2"/>
      <w:sz w:val="24"/>
      <w:szCs w:val="28"/>
    </w:rPr>
  </w:style>
  <w:style w:type="character" w:customStyle="1" w:styleId="43">
    <w:name w:val="标题 6 Char"/>
    <w:basedOn w:val="33"/>
    <w:link w:val="7"/>
    <w:qFormat/>
    <w:uiPriority w:val="0"/>
    <w:rPr>
      <w:rFonts w:ascii="黑体" w:hAnsi="Arial" w:eastAsia="黑体"/>
      <w:sz w:val="28"/>
    </w:rPr>
  </w:style>
  <w:style w:type="character" w:customStyle="1" w:styleId="44">
    <w:name w:val="标题 7 Char"/>
    <w:basedOn w:val="33"/>
    <w:link w:val="9"/>
    <w:qFormat/>
    <w:uiPriority w:val="0"/>
    <w:rPr>
      <w:sz w:val="28"/>
    </w:rPr>
  </w:style>
  <w:style w:type="character" w:customStyle="1" w:styleId="45">
    <w:name w:val="标题 8 Char"/>
    <w:basedOn w:val="33"/>
    <w:link w:val="10"/>
    <w:qFormat/>
    <w:uiPriority w:val="0"/>
    <w:rPr>
      <w:rFonts w:ascii="黑体" w:hAnsi="Arial" w:eastAsia="黑体"/>
      <w:sz w:val="36"/>
    </w:rPr>
  </w:style>
  <w:style w:type="character" w:customStyle="1" w:styleId="46">
    <w:name w:val="标题 9 Char"/>
    <w:basedOn w:val="33"/>
    <w:link w:val="11"/>
    <w:qFormat/>
    <w:uiPriority w:val="0"/>
    <w:rPr>
      <w:rFonts w:ascii="黑体" w:hAnsi="Arial" w:eastAsia="黑体"/>
      <w:sz w:val="28"/>
    </w:rPr>
  </w:style>
  <w:style w:type="character" w:customStyle="1" w:styleId="47">
    <w:name w:val="日期 Char"/>
    <w:link w:val="18"/>
    <w:qFormat/>
    <w:uiPriority w:val="0"/>
    <w:rPr>
      <w:rFonts w:ascii="Calibri" w:hAnsi="Calibri" w:cs="Arial"/>
      <w:kern w:val="2"/>
      <w:sz w:val="21"/>
      <w:szCs w:val="22"/>
    </w:rPr>
  </w:style>
  <w:style w:type="character" w:customStyle="1" w:styleId="48">
    <w:name w:val="批注框文本 Char"/>
    <w:basedOn w:val="33"/>
    <w:link w:val="20"/>
    <w:qFormat/>
    <w:uiPriority w:val="99"/>
    <w:rPr>
      <w:kern w:val="2"/>
      <w:sz w:val="18"/>
      <w:szCs w:val="18"/>
    </w:rPr>
  </w:style>
  <w:style w:type="character" w:customStyle="1" w:styleId="49">
    <w:name w:val="页脚 Char"/>
    <w:basedOn w:val="33"/>
    <w:link w:val="21"/>
    <w:qFormat/>
    <w:uiPriority w:val="99"/>
    <w:rPr>
      <w:kern w:val="2"/>
      <w:sz w:val="18"/>
      <w:szCs w:val="18"/>
    </w:rPr>
  </w:style>
  <w:style w:type="character" w:customStyle="1" w:styleId="50">
    <w:name w:val="页眉 Char"/>
    <w:basedOn w:val="33"/>
    <w:link w:val="22"/>
    <w:qFormat/>
    <w:uiPriority w:val="99"/>
    <w:rPr>
      <w:kern w:val="2"/>
      <w:sz w:val="18"/>
      <w:szCs w:val="18"/>
    </w:rPr>
  </w:style>
  <w:style w:type="character" w:customStyle="1" w:styleId="51">
    <w:name w:val="脚注文本 Char"/>
    <w:link w:val="24"/>
    <w:qFormat/>
    <w:uiPriority w:val="99"/>
    <w:rPr>
      <w:kern w:val="2"/>
      <w:sz w:val="18"/>
      <w:szCs w:val="18"/>
    </w:rPr>
  </w:style>
  <w:style w:type="paragraph" w:customStyle="1" w:styleId="52">
    <w:name w:val="Char Char Char Char"/>
    <w:basedOn w:val="1"/>
    <w:qFormat/>
    <w:uiPriority w:val="0"/>
    <w:pPr>
      <w:spacing w:after="160" w:line="240" w:lineRule="exact"/>
    </w:pPr>
  </w:style>
  <w:style w:type="character" w:customStyle="1" w:styleId="53">
    <w:name w:val="纯文本 Char1"/>
    <w:basedOn w:val="33"/>
    <w:qFormat/>
    <w:uiPriority w:val="0"/>
    <w:rPr>
      <w:rFonts w:ascii="宋体" w:eastAsia="宋体" w:cs="Courier New"/>
      <w:szCs w:val="21"/>
    </w:rPr>
  </w:style>
  <w:style w:type="paragraph" w:customStyle="1" w:styleId="54">
    <w:name w:val="列出段落1"/>
    <w:basedOn w:val="1"/>
    <w:qFormat/>
    <w:uiPriority w:val="0"/>
    <w:pPr>
      <w:ind w:firstLine="200" w:firstLineChars="200"/>
    </w:pPr>
  </w:style>
  <w:style w:type="paragraph" w:customStyle="1" w:styleId="55">
    <w:name w:val="样式 样式 样式 标题 2 + Times New Roman + 段后: 0.5 行 + 段前: 7.8 磅 段后: 1 行"/>
    <w:basedOn w:val="1"/>
    <w:qFormat/>
    <w:uiPriority w:val="0"/>
    <w:pPr>
      <w:keepNext/>
      <w:keepLines/>
      <w:spacing w:before="156" w:after="312" w:line="360" w:lineRule="auto"/>
      <w:outlineLvl w:val="1"/>
    </w:pPr>
    <w:rPr>
      <w:rFonts w:eastAsia="黑体" w:cs="宋体"/>
      <w:sz w:val="32"/>
    </w:rPr>
  </w:style>
  <w:style w:type="paragraph" w:customStyle="1" w:styleId="56">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57">
    <w:name w:val="样式 标题 3 + 段前: 0.5 行 段后: 0.5 行"/>
    <w:qFormat/>
    <w:uiPriority w:val="0"/>
    <w:pPr>
      <w:spacing w:beforeLines="50" w:afterLines="50" w:line="360" w:lineRule="auto"/>
    </w:pPr>
    <w:rPr>
      <w:rFonts w:ascii="Times New Roman" w:hAnsi="Times New Roman" w:eastAsia="楷体_GB2312" w:cs="宋体"/>
      <w:lang w:val="en-US" w:eastAsia="zh-CN" w:bidi="ar-SA"/>
    </w:rPr>
  </w:style>
  <w:style w:type="paragraph" w:customStyle="1" w:styleId="5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9">
    <w:name w:val="文档结构图 Char1"/>
    <w:basedOn w:val="33"/>
    <w:qFormat/>
    <w:uiPriority w:val="0"/>
    <w:rPr>
      <w:rFonts w:ascii="宋体" w:eastAsia="宋体" w:cs="Times New Roman"/>
      <w:sz w:val="18"/>
      <w:szCs w:val="18"/>
    </w:rPr>
  </w:style>
  <w:style w:type="paragraph" w:customStyle="1" w:styleId="60">
    <w:name w:val="Char"/>
    <w:basedOn w:val="1"/>
    <w:qFormat/>
    <w:uiPriority w:val="0"/>
    <w:pPr>
      <w:spacing w:line="360" w:lineRule="auto"/>
      <w:ind w:firstLine="200" w:firstLineChars="200"/>
    </w:pPr>
    <w:rPr>
      <w:rFonts w:ascii="宋体" w:cs="宋体"/>
      <w:sz w:val="24"/>
      <w:szCs w:val="24"/>
    </w:rPr>
  </w:style>
  <w:style w:type="paragraph" w:customStyle="1" w:styleId="61">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styleId="62">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63">
    <w:name w:val="修订1"/>
    <w:hidden/>
    <w:semiHidden/>
    <w:qFormat/>
    <w:uiPriority w:val="99"/>
    <w:rPr>
      <w:rFonts w:asciiTheme="minorHAnsi" w:hAnsiTheme="minorHAnsi" w:eastAsiaTheme="minorEastAsia" w:cstheme="minorBidi"/>
      <w:kern w:val="2"/>
      <w:sz w:val="21"/>
      <w:szCs w:val="22"/>
      <w:lang w:val="en-US" w:eastAsia="zh-CN" w:bidi="ar-SA"/>
    </w:rPr>
  </w:style>
  <w:style w:type="table" w:customStyle="1" w:styleId="64">
    <w:name w:val="网格型1"/>
    <w:basedOn w:val="31"/>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5">
    <w:name w:val="修订2"/>
    <w:hidden/>
    <w:semiHidden/>
    <w:qFormat/>
    <w:uiPriority w:val="99"/>
    <w:rPr>
      <w:rFonts w:ascii="Times New Roman" w:hAnsi="Times New Roman" w:eastAsia="宋体" w:cs="Times New Roman"/>
      <w:kern w:val="2"/>
      <w:sz w:val="21"/>
      <w:lang w:val="en-US" w:eastAsia="zh-CN" w:bidi="ar-SA"/>
    </w:rPr>
  </w:style>
  <w:style w:type="paragraph" w:customStyle="1" w:styleId="66">
    <w:name w:val="Char1"/>
    <w:basedOn w:val="1"/>
    <w:qFormat/>
    <w:uiPriority w:val="0"/>
    <w:rPr>
      <w:szCs w:val="24"/>
    </w:rPr>
  </w:style>
  <w:style w:type="paragraph" w:customStyle="1" w:styleId="67">
    <w:name w:val="X00     报告正文"/>
    <w:basedOn w:val="1"/>
    <w:qFormat/>
    <w:uiPriority w:val="0"/>
    <w:pPr>
      <w:snapToGrid w:val="0"/>
      <w:spacing w:line="360" w:lineRule="auto"/>
      <w:ind w:firstLine="200" w:firstLineChars="200"/>
    </w:pPr>
    <w:rPr>
      <w:sz w:val="24"/>
      <w:szCs w:val="28"/>
    </w:rPr>
  </w:style>
  <w:style w:type="paragraph" w:customStyle="1" w:styleId="68">
    <w:name w:val="Char Char Char Char1"/>
    <w:basedOn w:val="1"/>
    <w:qFormat/>
    <w:uiPriority w:val="0"/>
    <w:rPr>
      <w:szCs w:val="24"/>
    </w:rPr>
  </w:style>
  <w:style w:type="character" w:customStyle="1" w:styleId="69">
    <w:name w:val="正文文本 2 Char"/>
    <w:basedOn w:val="33"/>
    <w:link w:val="27"/>
    <w:qFormat/>
    <w:uiPriority w:val="0"/>
    <w:rPr>
      <w:kern w:val="2"/>
      <w:sz w:val="21"/>
      <w:szCs w:val="24"/>
    </w:rPr>
  </w:style>
  <w:style w:type="paragraph" w:customStyle="1" w:styleId="70">
    <w:name w:val="表中正文"/>
    <w:basedOn w:val="1"/>
    <w:qFormat/>
    <w:uiPriority w:val="0"/>
    <w:pPr>
      <w:autoSpaceDE w:val="0"/>
      <w:autoSpaceDN w:val="0"/>
      <w:spacing w:line="240" w:lineRule="atLeast"/>
      <w:jc w:val="center"/>
    </w:pPr>
    <w:rPr>
      <w:szCs w:val="21"/>
    </w:rPr>
  </w:style>
  <w:style w:type="character" w:customStyle="1" w:styleId="71">
    <w:name w:val="标题 3 Char"/>
    <w:qFormat/>
    <w:uiPriority w:val="0"/>
    <w:rPr>
      <w:rFonts w:ascii="楷体_GB2312" w:hAnsi="宋体" w:eastAsia="楷体_GB2312"/>
      <w:b/>
      <w:kern w:val="2"/>
      <w:sz w:val="28"/>
      <w:szCs w:val="24"/>
      <w:lang w:val="en-US" w:eastAsia="zh-CN" w:bidi="ar-SA"/>
    </w:rPr>
  </w:style>
  <w:style w:type="character" w:customStyle="1" w:styleId="72">
    <w:name w:val="HTML 预设格式 Char"/>
    <w:basedOn w:val="33"/>
    <w:link w:val="28"/>
    <w:qFormat/>
    <w:uiPriority w:val="0"/>
    <w:rPr>
      <w:rFonts w:ascii="Arial Unicode MS" w:hAnsi="Arial Unicode MS" w:eastAsia="Arial Unicode MS" w:cs="Arial Unicode MS"/>
    </w:rPr>
  </w:style>
  <w:style w:type="character" w:customStyle="1" w:styleId="73">
    <w:name w:val="正文文本缩进 Char"/>
    <w:basedOn w:val="33"/>
    <w:link w:val="15"/>
    <w:qFormat/>
    <w:uiPriority w:val="0"/>
    <w:rPr>
      <w:rFonts w:eastAsia="仿宋_GB2312"/>
      <w:kern w:val="2"/>
      <w:sz w:val="32"/>
      <w:szCs w:val="24"/>
    </w:rPr>
  </w:style>
  <w:style w:type="character" w:customStyle="1" w:styleId="74">
    <w:name w:val="正文文本缩进 2 Char"/>
    <w:basedOn w:val="33"/>
    <w:link w:val="19"/>
    <w:qFormat/>
    <w:uiPriority w:val="0"/>
    <w:rPr>
      <w:color w:val="FF0000"/>
      <w:kern w:val="2"/>
      <w:sz w:val="24"/>
      <w:szCs w:val="24"/>
    </w:rPr>
  </w:style>
  <w:style w:type="paragraph" w:customStyle="1" w:styleId="75">
    <w:name w:val="正文表标题"/>
    <w:next w:val="76"/>
    <w:qFormat/>
    <w:uiPriority w:val="0"/>
    <w:pPr>
      <w:ind w:left="5040"/>
      <w:jc w:val="center"/>
    </w:pPr>
    <w:rPr>
      <w:rFonts w:ascii="黑体" w:hAnsi="Times New Roman" w:eastAsia="黑体" w:cs="Times New Roman"/>
      <w:sz w:val="21"/>
      <w:lang w:val="en-US" w:eastAsia="zh-CN" w:bidi="ar-SA"/>
    </w:rPr>
  </w:style>
  <w:style w:type="paragraph" w:customStyle="1" w:styleId="7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7">
    <w:name w:val="前言、引言标题"/>
    <w:next w:val="1"/>
    <w:qFormat/>
    <w:uiPriority w:val="0"/>
    <w:pPr>
      <w:shd w:val="clear" w:color="auto"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78">
    <w:name w:val="章标题"/>
    <w:next w:val="76"/>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79">
    <w:name w:val="一级条标题"/>
    <w:basedOn w:val="78"/>
    <w:next w:val="76"/>
    <w:qFormat/>
    <w:uiPriority w:val="0"/>
    <w:pPr>
      <w:tabs>
        <w:tab w:val="left" w:pos="1680"/>
      </w:tabs>
      <w:spacing w:beforeLines="0" w:afterLines="0"/>
      <w:ind w:left="1680" w:hanging="420"/>
      <w:outlineLvl w:val="2"/>
    </w:pPr>
  </w:style>
  <w:style w:type="paragraph" w:customStyle="1" w:styleId="80">
    <w:name w:val="二级条标题"/>
    <w:basedOn w:val="79"/>
    <w:next w:val="76"/>
    <w:qFormat/>
    <w:uiPriority w:val="0"/>
    <w:pPr>
      <w:tabs>
        <w:tab w:val="left" w:pos="360"/>
        <w:tab w:val="left" w:pos="2100"/>
        <w:tab w:val="clear" w:pos="1680"/>
      </w:tabs>
      <w:ind w:left="2100"/>
      <w:outlineLvl w:val="3"/>
    </w:pPr>
  </w:style>
  <w:style w:type="paragraph" w:customStyle="1" w:styleId="81">
    <w:name w:val="三级条标题"/>
    <w:basedOn w:val="80"/>
    <w:next w:val="76"/>
    <w:qFormat/>
    <w:uiPriority w:val="0"/>
    <w:pPr>
      <w:tabs>
        <w:tab w:val="left" w:pos="2520"/>
      </w:tabs>
      <w:ind w:left="2520"/>
      <w:outlineLvl w:val="4"/>
    </w:pPr>
  </w:style>
  <w:style w:type="paragraph" w:customStyle="1" w:styleId="82">
    <w:name w:val="四级条标题"/>
    <w:basedOn w:val="81"/>
    <w:next w:val="76"/>
    <w:qFormat/>
    <w:uiPriority w:val="0"/>
    <w:pPr>
      <w:tabs>
        <w:tab w:val="left" w:pos="2940"/>
      </w:tabs>
      <w:ind w:left="2940"/>
      <w:outlineLvl w:val="5"/>
    </w:pPr>
  </w:style>
  <w:style w:type="paragraph" w:customStyle="1" w:styleId="83">
    <w:name w:val="五级条标题"/>
    <w:basedOn w:val="82"/>
    <w:next w:val="76"/>
    <w:qFormat/>
    <w:uiPriority w:val="0"/>
    <w:pPr>
      <w:tabs>
        <w:tab w:val="left" w:pos="3360"/>
      </w:tabs>
      <w:ind w:left="3360"/>
      <w:outlineLvl w:val="6"/>
    </w:pPr>
  </w:style>
  <w:style w:type="paragraph" w:customStyle="1" w:styleId="84">
    <w:name w:val="表格"/>
    <w:basedOn w:val="1"/>
    <w:qFormat/>
    <w:uiPriority w:val="0"/>
    <w:pPr>
      <w:autoSpaceDE w:val="0"/>
      <w:autoSpaceDN w:val="0"/>
      <w:adjustRightInd w:val="0"/>
      <w:snapToGrid w:val="0"/>
      <w:jc w:val="center"/>
    </w:pPr>
    <w:rPr>
      <w:rFonts w:eastAsia="楷体_GB2312"/>
      <w:kern w:val="0"/>
    </w:rPr>
  </w:style>
  <w:style w:type="paragraph" w:customStyle="1" w:styleId="85">
    <w:name w:val="样式1"/>
    <w:basedOn w:val="3"/>
    <w:qFormat/>
    <w:uiPriority w:val="0"/>
    <w:pPr>
      <w:keepNext w:val="0"/>
      <w:keepLines w:val="0"/>
      <w:tabs>
        <w:tab w:val="left" w:pos="360"/>
      </w:tabs>
      <w:autoSpaceDE w:val="0"/>
      <w:autoSpaceDN w:val="0"/>
      <w:spacing w:before="240" w:after="0" w:line="360" w:lineRule="auto"/>
    </w:pPr>
    <w:rPr>
      <w:rFonts w:ascii="Times New Roman" w:hAnsi="Times New Roman"/>
      <w:i/>
      <w:iCs/>
      <w:sz w:val="30"/>
    </w:rPr>
  </w:style>
  <w:style w:type="character" w:customStyle="1" w:styleId="86">
    <w:name w:val="报告书正文 Char"/>
    <w:link w:val="87"/>
    <w:qFormat/>
    <w:uiPriority w:val="0"/>
    <w:rPr>
      <w:kern w:val="2"/>
      <w:sz w:val="24"/>
      <w:szCs w:val="28"/>
    </w:rPr>
  </w:style>
  <w:style w:type="paragraph" w:customStyle="1" w:styleId="87">
    <w:name w:val="报告书正文"/>
    <w:basedOn w:val="1"/>
    <w:link w:val="86"/>
    <w:qFormat/>
    <w:uiPriority w:val="0"/>
    <w:pPr>
      <w:spacing w:line="360" w:lineRule="auto"/>
      <w:ind w:firstLine="200" w:firstLineChars="200"/>
      <w:jc w:val="left"/>
    </w:pPr>
    <w:rPr>
      <w:sz w:val="24"/>
      <w:szCs w:val="28"/>
    </w:rPr>
  </w:style>
  <w:style w:type="paragraph" w:customStyle="1" w:styleId="88">
    <w:name w:val="样式 标题 3 + (西文) Times New Roman (中文) 楷体_GB2312 小三"/>
    <w:basedOn w:val="4"/>
    <w:qFormat/>
    <w:uiPriority w:val="0"/>
    <w:pPr>
      <w:spacing w:beforeLines="50" w:afterLines="50" w:line="360" w:lineRule="auto"/>
    </w:pPr>
    <w:rPr>
      <w:rFonts w:ascii="Times New Roman" w:hAnsi="Times New Roman" w:eastAsia="楷体_GB2312" w:cs="Times New Roman"/>
      <w:kern w:val="0"/>
      <w:sz w:val="30"/>
    </w:rPr>
  </w:style>
  <w:style w:type="paragraph" w:customStyle="1" w:styleId="89">
    <w:name w:val="表头"/>
    <w:basedOn w:val="8"/>
    <w:qFormat/>
    <w:uiPriority w:val="0"/>
    <w:pPr>
      <w:autoSpaceDE w:val="0"/>
      <w:autoSpaceDN w:val="0"/>
      <w:adjustRightInd w:val="0"/>
      <w:snapToGrid w:val="0"/>
      <w:spacing w:beforeLines="30" w:line="288" w:lineRule="auto"/>
      <w:ind w:firstLine="0" w:firstLineChars="0"/>
      <w:jc w:val="center"/>
    </w:pPr>
    <w:rPr>
      <w:rFonts w:ascii="宋体" w:hAnsi="Times New Roman" w:eastAsia="宋体" w:cs="Times New Roman"/>
      <w:sz w:val="24"/>
    </w:rPr>
  </w:style>
  <w:style w:type="paragraph" w:customStyle="1" w:styleId="90">
    <w:name w:val="文章正文 alt+a"/>
    <w:basedOn w:val="1"/>
    <w:qFormat/>
    <w:uiPriority w:val="0"/>
    <w:pPr>
      <w:spacing w:line="312" w:lineRule="auto"/>
      <w:ind w:firstLine="360" w:firstLineChars="150"/>
    </w:pPr>
    <w:rPr>
      <w:color w:val="000000"/>
      <w:sz w:val="24"/>
      <w:szCs w:val="28"/>
    </w:rPr>
  </w:style>
  <w:style w:type="paragraph" w:customStyle="1" w:styleId="91">
    <w:name w:val="表标题"/>
    <w:basedOn w:val="1"/>
    <w:qFormat/>
    <w:uiPriority w:val="0"/>
    <w:pPr>
      <w:autoSpaceDE w:val="0"/>
      <w:autoSpaceDN w:val="0"/>
      <w:adjustRightInd w:val="0"/>
      <w:snapToGrid w:val="0"/>
      <w:spacing w:before="180" w:after="120" w:line="408" w:lineRule="atLeast"/>
      <w:jc w:val="center"/>
      <w:textAlignment w:val="baseline"/>
    </w:pPr>
    <w:rPr>
      <w:b/>
      <w:spacing w:val="2"/>
      <w:kern w:val="0"/>
      <w:sz w:val="28"/>
    </w:rPr>
  </w:style>
  <w:style w:type="paragraph" w:customStyle="1" w:styleId="92">
    <w:name w:val="X12       表格文字"/>
    <w:basedOn w:val="1"/>
    <w:qFormat/>
    <w:uiPriority w:val="0"/>
    <w:pPr>
      <w:snapToGrid w:val="0"/>
      <w:jc w:val="center"/>
    </w:pPr>
    <w:rPr>
      <w:szCs w:val="24"/>
    </w:rPr>
  </w:style>
  <w:style w:type="paragraph" w:customStyle="1" w:styleId="93">
    <w:name w:val="1 Char"/>
    <w:basedOn w:val="1"/>
    <w:qFormat/>
    <w:uiPriority w:val="0"/>
    <w:rPr>
      <w:szCs w:val="24"/>
    </w:rPr>
  </w:style>
  <w:style w:type="character" w:customStyle="1" w:styleId="94">
    <w:name w:val="正文文本缩进 3 Char"/>
    <w:basedOn w:val="33"/>
    <w:link w:val="25"/>
    <w:qFormat/>
    <w:uiPriority w:val="0"/>
    <w:rPr>
      <w:kern w:val="2"/>
      <w:sz w:val="16"/>
      <w:szCs w:val="16"/>
    </w:rPr>
  </w:style>
  <w:style w:type="paragraph" w:customStyle="1" w:styleId="95">
    <w:name w:val="Char2"/>
    <w:basedOn w:val="1"/>
    <w:qFormat/>
    <w:uiPriority w:val="0"/>
    <w:rPr>
      <w:szCs w:val="24"/>
    </w:rPr>
  </w:style>
  <w:style w:type="paragraph" w:customStyle="1" w:styleId="96">
    <w:name w:val="Char Char Char Char2"/>
    <w:basedOn w:val="1"/>
    <w:qFormat/>
    <w:uiPriority w:val="0"/>
    <w:rPr>
      <w:szCs w:val="24"/>
    </w:rPr>
  </w:style>
  <w:style w:type="paragraph" w:customStyle="1" w:styleId="97">
    <w:name w:val="表标题1"/>
    <w:basedOn w:val="1"/>
    <w:qFormat/>
    <w:uiPriority w:val="0"/>
    <w:pPr>
      <w:autoSpaceDE w:val="0"/>
      <w:autoSpaceDN w:val="0"/>
      <w:adjustRightInd w:val="0"/>
      <w:snapToGrid w:val="0"/>
      <w:spacing w:before="180" w:after="120" w:line="408" w:lineRule="atLeast"/>
      <w:jc w:val="center"/>
      <w:textAlignment w:val="baseline"/>
    </w:pPr>
    <w:rPr>
      <w:b/>
      <w:spacing w:val="2"/>
      <w:kern w:val="0"/>
      <w:sz w:val="28"/>
    </w:rPr>
  </w:style>
  <w:style w:type="character" w:customStyle="1" w:styleId="98">
    <w:name w:val="批注文字 Char"/>
    <w:link w:val="13"/>
    <w:semiHidden/>
    <w:qFormat/>
    <w:uiPriority w:val="0"/>
    <w:rPr>
      <w:kern w:val="2"/>
      <w:sz w:val="21"/>
    </w:rPr>
  </w:style>
  <w:style w:type="character" w:customStyle="1" w:styleId="99">
    <w:name w:val="font31"/>
    <w:basedOn w:val="33"/>
    <w:qFormat/>
    <w:uiPriority w:val="0"/>
    <w:rPr>
      <w:rFonts w:hint="eastAsia" w:ascii="宋体" w:hAnsi="宋体" w:eastAsia="宋体" w:cs="宋体"/>
      <w:color w:val="000000"/>
      <w:sz w:val="24"/>
      <w:szCs w:val="24"/>
      <w:u w:val="none"/>
    </w:rPr>
  </w:style>
  <w:style w:type="paragraph" w:customStyle="1" w:styleId="100">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2175</Words>
  <Characters>12401</Characters>
  <Lines>103</Lines>
  <Paragraphs>29</Paragraphs>
  <TotalTime>367</TotalTime>
  <ScaleCrop>false</ScaleCrop>
  <LinksUpToDate>false</LinksUpToDate>
  <CharactersWithSpaces>14547</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2025-07-28T17:05:00Z</dcterms:created>
  <dc:creator>thinkpad</dc:creator>
  <cp:lastModifiedBy>靳伟光</cp:lastModifiedBy>
  <cp:lastPrinted>2025-07-14T17:42:00Z</cp:lastPrinted>
  <dcterms:modified xsi:type="dcterms:W3CDTF">2025-07-31T16:03:40Z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FB4D9C7EC8524E0690278D6386CFDDEC_13</vt:lpwstr>
  </property>
  <property fmtid="{D5CDD505-2E9C-101B-9397-08002B2CF9AE}" pid="4" name="KSOTemplateDocerSaveRecord">
    <vt:lpwstr>eyJoZGlkIjoiYTc2ZGZiNzZiNDVlOGViOWVmM2JhOTY0NGJkNjUyYzgiLCJ1c2VySWQiOiI0MDc1NTEyNDMifQ==</vt:lpwstr>
  </property>
</Properties>
</file>